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BE7A" w14:textId="1221A95D" w:rsidR="003E3269" w:rsidRDefault="002C415C" w:rsidP="003E3269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04</w:t>
      </w:r>
      <w:r w:rsidR="003E3269">
        <w:rPr>
          <w:rFonts w:ascii="David" w:hAnsi="David" w:cs="David" w:hint="cs"/>
          <w:sz w:val="28"/>
          <w:szCs w:val="28"/>
          <w:rtl/>
        </w:rPr>
        <w:t>.0</w:t>
      </w:r>
      <w:r>
        <w:rPr>
          <w:rFonts w:ascii="David" w:hAnsi="David" w:cs="David" w:hint="cs"/>
          <w:sz w:val="28"/>
          <w:szCs w:val="28"/>
          <w:rtl/>
        </w:rPr>
        <w:t>9</w:t>
      </w:r>
      <w:r w:rsidR="003E3269">
        <w:rPr>
          <w:rFonts w:ascii="David" w:hAnsi="David" w:cs="David" w:hint="cs"/>
          <w:sz w:val="28"/>
          <w:szCs w:val="28"/>
          <w:rtl/>
        </w:rPr>
        <w:t>.2023</w:t>
      </w:r>
    </w:p>
    <w:p w14:paraId="1F68490E" w14:textId="77777777" w:rsidR="003E3269" w:rsidRDefault="003E3269" w:rsidP="003E3269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פרופ' עירית עמית כהן</w:t>
      </w:r>
    </w:p>
    <w:p w14:paraId="2257326F" w14:textId="77777777" w:rsidR="00D703C9" w:rsidRDefault="003E3269" w:rsidP="003E3269">
      <w:pPr>
        <w:spacing w:line="360" w:lineRule="auto"/>
        <w:contextualSpacing/>
        <w:rPr>
          <w:rFonts w:ascii="David" w:hAnsi="David" w:cs="David"/>
          <w:sz w:val="28"/>
          <w:szCs w:val="28"/>
          <w:rtl/>
        </w:rPr>
      </w:pPr>
      <w:r w:rsidRPr="00DE6FE0">
        <w:rPr>
          <w:rFonts w:ascii="David" w:hAnsi="David" w:cs="David" w:hint="cs"/>
          <w:sz w:val="28"/>
          <w:szCs w:val="28"/>
          <w:rtl/>
        </w:rPr>
        <w:t xml:space="preserve">60 שניות </w:t>
      </w:r>
      <w:r>
        <w:rPr>
          <w:rFonts w:ascii="David" w:hAnsi="David" w:cs="David" w:hint="cs"/>
          <w:sz w:val="28"/>
          <w:szCs w:val="28"/>
          <w:rtl/>
        </w:rPr>
        <w:t>על</w:t>
      </w:r>
      <w:r w:rsidRPr="00DE6FE0">
        <w:rPr>
          <w:rFonts w:ascii="David" w:hAnsi="David" w:cs="David" w:hint="cs"/>
          <w:sz w:val="28"/>
          <w:szCs w:val="28"/>
          <w:rtl/>
        </w:rPr>
        <w:t xml:space="preserve"> שימור מורשת התרבות</w:t>
      </w:r>
    </w:p>
    <w:p w14:paraId="7EC765CA" w14:textId="6CB7D62C" w:rsidR="003E3269" w:rsidRPr="00D703C9" w:rsidRDefault="003E3269" w:rsidP="003E3269">
      <w:pPr>
        <w:spacing w:line="360" w:lineRule="auto"/>
        <w:contextualSpacing/>
        <w:rPr>
          <w:rFonts w:ascii="David" w:hAnsi="David" w:cs="David"/>
          <w:sz w:val="28"/>
          <w:szCs w:val="28"/>
          <w:u w:val="single"/>
          <w:rtl/>
        </w:rPr>
      </w:pPr>
      <w:r w:rsidRPr="00D703C9">
        <w:rPr>
          <w:rFonts w:ascii="David" w:hAnsi="David" w:cs="David" w:hint="cs"/>
          <w:sz w:val="28"/>
          <w:szCs w:val="28"/>
          <w:u w:val="single"/>
          <w:rtl/>
        </w:rPr>
        <w:t>סיכום</w:t>
      </w:r>
    </w:p>
    <w:p w14:paraId="4298F011" w14:textId="77777777" w:rsidR="003E3269" w:rsidRDefault="003E3269" w:rsidP="003E3269">
      <w:pPr>
        <w:spacing w:line="360" w:lineRule="auto"/>
        <w:contextualSpacing/>
        <w:rPr>
          <w:rFonts w:ascii="David" w:hAnsi="David" w:cs="David"/>
          <w:b/>
          <w:bCs/>
          <w:sz w:val="28"/>
          <w:szCs w:val="28"/>
          <w:rtl/>
        </w:rPr>
      </w:pPr>
      <w:r w:rsidRPr="00557DF4">
        <w:rPr>
          <w:rFonts w:ascii="David" w:hAnsi="David" w:cs="David" w:hint="cs"/>
          <w:b/>
          <w:bCs/>
          <w:sz w:val="24"/>
          <w:szCs w:val="24"/>
          <w:rtl/>
        </w:rPr>
        <w:t>מפגש ראשון</w:t>
      </w:r>
      <w:r>
        <w:rPr>
          <w:rFonts w:ascii="David" w:hAnsi="David" w:cs="David" w:hint="cs"/>
          <w:sz w:val="24"/>
          <w:szCs w:val="24"/>
          <w:rtl/>
        </w:rPr>
        <w:t xml:space="preserve"> הציג את הצירוף הלשוני, שימור מורשת תרבות מוחשית והמשמעויות הנלוות. </w:t>
      </w:r>
      <w:r w:rsidRPr="00557DF4">
        <w:rPr>
          <w:rFonts w:ascii="David" w:hAnsi="David" w:cs="David" w:hint="cs"/>
          <w:b/>
          <w:bCs/>
          <w:sz w:val="24"/>
          <w:szCs w:val="24"/>
          <w:rtl/>
        </w:rPr>
        <w:t>מפגש שני</w:t>
      </w:r>
      <w:r>
        <w:rPr>
          <w:rFonts w:ascii="David" w:hAnsi="David" w:cs="David" w:hint="cs"/>
          <w:sz w:val="24"/>
          <w:szCs w:val="24"/>
          <w:rtl/>
        </w:rPr>
        <w:t xml:space="preserve"> מתמקד בגורמים השותפים לשינוי במעמד תחום שימור מורשת התרבות המוחשית.</w:t>
      </w:r>
    </w:p>
    <w:p w14:paraId="003E956B" w14:textId="77777777" w:rsidR="003E3269" w:rsidRDefault="003E3269" w:rsidP="003E3269">
      <w:pP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E569D2">
        <w:rPr>
          <w:rFonts w:ascii="David" w:hAnsi="David" w:cs="David" w:hint="cs"/>
          <w:b/>
          <w:bCs/>
          <w:sz w:val="24"/>
          <w:szCs w:val="24"/>
          <w:rtl/>
        </w:rPr>
        <w:t xml:space="preserve">מפגש שלישי </w:t>
      </w:r>
      <w:r>
        <w:rPr>
          <w:rFonts w:ascii="David" w:hAnsi="David" w:cs="David" w:hint="cs"/>
          <w:sz w:val="24"/>
          <w:szCs w:val="24"/>
          <w:rtl/>
        </w:rPr>
        <w:t xml:space="preserve">מתבסס על מאמר שהופיע באתרים המגזין 11 </w:t>
      </w:r>
      <w:r w:rsidRPr="00E569D2">
        <w:rPr>
          <w:rFonts w:ascii="David" w:hAnsi="David" w:cs="David"/>
          <w:sz w:val="24"/>
          <w:szCs w:val="24"/>
          <w:rtl/>
        </w:rPr>
        <w:t>תאריכים כסמל</w:t>
      </w:r>
      <w:r w:rsidRPr="00E569D2">
        <w:rPr>
          <w:rFonts w:ascii="David" w:hAnsi="David" w:cs="David" w:hint="cs"/>
          <w:sz w:val="24"/>
          <w:szCs w:val="24"/>
          <w:rtl/>
        </w:rPr>
        <w:t>: שנת 1700 ומעמדה בהבחנה בין עתיקה לבין אתר ונכס מורשת</w:t>
      </w:r>
      <w:r>
        <w:rPr>
          <w:rFonts w:ascii="David" w:hAnsi="David" w:cs="David" w:hint="cs"/>
          <w:sz w:val="24"/>
          <w:szCs w:val="24"/>
          <w:rtl/>
        </w:rPr>
        <w:t xml:space="preserve"> (כתבו: </w:t>
      </w:r>
      <w:r w:rsidRPr="00E569D2">
        <w:rPr>
          <w:rFonts w:ascii="David" w:hAnsi="David" w:cs="David" w:hint="cs"/>
          <w:sz w:val="24"/>
          <w:szCs w:val="24"/>
          <w:rtl/>
        </w:rPr>
        <w:t>רחל שוויצר</w:t>
      </w:r>
      <w:r>
        <w:rPr>
          <w:rFonts w:ascii="David" w:hAnsi="David" w:cs="David" w:hint="cs"/>
          <w:sz w:val="24"/>
          <w:szCs w:val="24"/>
          <w:rtl/>
        </w:rPr>
        <w:t xml:space="preserve"> ו</w:t>
      </w:r>
      <w:r w:rsidRPr="00E569D2">
        <w:rPr>
          <w:rFonts w:ascii="David" w:hAnsi="David" w:cs="David" w:hint="cs"/>
          <w:sz w:val="24"/>
          <w:szCs w:val="24"/>
          <w:rtl/>
        </w:rPr>
        <w:t xml:space="preserve">עירית </w:t>
      </w:r>
      <w:proofErr w:type="spellStart"/>
      <w:r w:rsidRPr="00E569D2">
        <w:rPr>
          <w:rFonts w:ascii="David" w:hAnsi="David" w:cs="David" w:hint="cs"/>
          <w:sz w:val="24"/>
          <w:szCs w:val="24"/>
          <w:rtl/>
        </w:rPr>
        <w:t>עמית־כהן</w:t>
      </w:r>
      <w:proofErr w:type="spellEnd"/>
      <w:r w:rsidRPr="00E569D2">
        <w:rPr>
          <w:rFonts w:ascii="David" w:hAnsi="David" w:cs="David" w:hint="cs"/>
          <w:sz w:val="24"/>
          <w:szCs w:val="24"/>
          <w:rtl/>
        </w:rPr>
        <w:t>)</w:t>
      </w:r>
    </w:p>
    <w:p w14:paraId="7BF6EA28" w14:textId="77777777" w:rsidR="003E3269" w:rsidRDefault="003E3269" w:rsidP="003E3269">
      <w:pP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816153">
        <w:rPr>
          <w:rFonts w:ascii="David" w:hAnsi="David" w:cs="David" w:hint="cs"/>
          <w:b/>
          <w:bCs/>
          <w:sz w:val="24"/>
          <w:szCs w:val="24"/>
          <w:rtl/>
        </w:rPr>
        <w:t xml:space="preserve">מפגש </w:t>
      </w:r>
      <w:r>
        <w:rPr>
          <w:rFonts w:ascii="David" w:hAnsi="David" w:cs="David" w:hint="cs"/>
          <w:b/>
          <w:bCs/>
          <w:sz w:val="24"/>
          <w:szCs w:val="24"/>
          <w:rtl/>
        </w:rPr>
        <w:t>רביעי</w:t>
      </w:r>
      <w:r w:rsidRPr="0081615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נועד להציג את השינוי שחל בשיח השימור מהפריט או האתר הבודד למכלול /למרחב מורשת לשימור</w:t>
      </w:r>
    </w:p>
    <w:p w14:paraId="4A81FAE4" w14:textId="77777777" w:rsidR="003E3269" w:rsidRDefault="003E3269" w:rsidP="003E3269">
      <w:pP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265026">
        <w:rPr>
          <w:rFonts w:ascii="David" w:hAnsi="David" w:cs="David" w:hint="cs"/>
          <w:b/>
          <w:bCs/>
          <w:sz w:val="24"/>
          <w:szCs w:val="24"/>
          <w:rtl/>
        </w:rPr>
        <w:t>מפגש חמישי</w:t>
      </w:r>
      <w:r>
        <w:rPr>
          <w:rFonts w:ascii="David" w:hAnsi="David" w:cs="David" w:hint="cs"/>
          <w:sz w:val="24"/>
          <w:szCs w:val="24"/>
          <w:rtl/>
        </w:rPr>
        <w:t>, השמשה (</w:t>
      </w:r>
      <w:r>
        <w:rPr>
          <w:rFonts w:ascii="David" w:hAnsi="David" w:cs="David"/>
          <w:sz w:val="24"/>
          <w:szCs w:val="24"/>
        </w:rPr>
        <w:t>re-use</w:t>
      </w:r>
      <w:r>
        <w:rPr>
          <w:rFonts w:ascii="David" w:hAnsi="David" w:cs="David" w:hint="cs"/>
          <w:sz w:val="24"/>
          <w:szCs w:val="24"/>
          <w:rtl/>
        </w:rPr>
        <w:t>) של נכסי מורשת בנויים</w:t>
      </w:r>
    </w:p>
    <w:p w14:paraId="7782D684" w14:textId="77777777" w:rsidR="003E3269" w:rsidRDefault="003E3269" w:rsidP="003E3269">
      <w:pP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0F5D23">
        <w:rPr>
          <w:rFonts w:ascii="David" w:hAnsi="David" w:cs="David" w:hint="cs"/>
          <w:b/>
          <w:bCs/>
          <w:sz w:val="24"/>
          <w:szCs w:val="24"/>
          <w:rtl/>
        </w:rPr>
        <w:t>מפגש ששי</w:t>
      </w:r>
      <w:r>
        <w:rPr>
          <w:rFonts w:ascii="David" w:hAnsi="David" w:cs="David" w:hint="cs"/>
          <w:sz w:val="24"/>
          <w:szCs w:val="24"/>
          <w:rtl/>
        </w:rPr>
        <w:t>, קשרים בין שימור ותכנון</w:t>
      </w:r>
    </w:p>
    <w:p w14:paraId="716C700D" w14:textId="77777777" w:rsidR="003E3269" w:rsidRDefault="003E3269" w:rsidP="003E3269">
      <w:pP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0F5D23">
        <w:rPr>
          <w:rFonts w:ascii="David" w:hAnsi="David" w:cs="David" w:hint="cs"/>
          <w:b/>
          <w:bCs/>
          <w:sz w:val="24"/>
          <w:szCs w:val="24"/>
          <w:rtl/>
        </w:rPr>
        <w:t xml:space="preserve">מפגש </w:t>
      </w:r>
      <w:r>
        <w:rPr>
          <w:rFonts w:ascii="David" w:hAnsi="David" w:cs="David" w:hint="cs"/>
          <w:b/>
          <w:bCs/>
          <w:sz w:val="24"/>
          <w:szCs w:val="24"/>
          <w:rtl/>
        </w:rPr>
        <w:t>שביעי</w:t>
      </w:r>
      <w:r>
        <w:rPr>
          <w:rFonts w:ascii="David" w:hAnsi="David" w:cs="David" w:hint="cs"/>
          <w:sz w:val="24"/>
          <w:szCs w:val="24"/>
          <w:rtl/>
        </w:rPr>
        <w:t>, קשרים בין היסטוריה, זיכרון, מורשת, ייצוג ושימור</w:t>
      </w:r>
    </w:p>
    <w:p w14:paraId="461F46A2" w14:textId="5A5D4682" w:rsidR="003E3269" w:rsidRDefault="003E3269" w:rsidP="003E3269">
      <w:pP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3E3269">
        <w:rPr>
          <w:rFonts w:ascii="David" w:hAnsi="David" w:cs="David" w:hint="cs"/>
          <w:b/>
          <w:bCs/>
          <w:sz w:val="24"/>
          <w:szCs w:val="24"/>
          <w:rtl/>
        </w:rPr>
        <w:t>מפגש שמיני</w:t>
      </w:r>
      <w:r>
        <w:rPr>
          <w:rFonts w:ascii="David" w:hAnsi="David" w:cs="David" w:hint="cs"/>
          <w:sz w:val="24"/>
          <w:szCs w:val="24"/>
          <w:rtl/>
        </w:rPr>
        <w:t xml:space="preserve">, מורשת התרבות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הוורנקולרית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הבנוייה</w:t>
      </w:r>
      <w:proofErr w:type="spellEnd"/>
    </w:p>
    <w:p w14:paraId="1687743D" w14:textId="1AAA39A5" w:rsidR="002C415C" w:rsidRPr="00E569D2" w:rsidRDefault="002C415C" w:rsidP="003E3269">
      <w:pP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2C415C">
        <w:rPr>
          <w:rFonts w:ascii="David" w:hAnsi="David" w:cs="David" w:hint="cs"/>
          <w:b/>
          <w:bCs/>
          <w:sz w:val="24"/>
          <w:szCs w:val="24"/>
          <w:rtl/>
        </w:rPr>
        <w:t>מפגש תשיעי</w:t>
      </w:r>
      <w:r>
        <w:rPr>
          <w:rFonts w:ascii="David" w:hAnsi="David" w:cs="David" w:hint="cs"/>
          <w:sz w:val="24"/>
          <w:szCs w:val="24"/>
          <w:rtl/>
        </w:rPr>
        <w:t>, נכסי מורשת, ערכי תרבות</w:t>
      </w:r>
      <w:r w:rsidR="00F847FD">
        <w:rPr>
          <w:rFonts w:ascii="David" w:hAnsi="David" w:cs="David" w:hint="cs"/>
          <w:sz w:val="24"/>
          <w:szCs w:val="24"/>
          <w:rtl/>
        </w:rPr>
        <w:t>, ההערכה והמדידה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/>
          <w:sz w:val="24"/>
          <w:szCs w:val="24"/>
        </w:rPr>
        <w:t>cultural heritage values and assessment</w:t>
      </w:r>
      <w:r>
        <w:rPr>
          <w:rFonts w:ascii="David" w:hAnsi="David" w:cs="David" w:hint="cs"/>
          <w:sz w:val="24"/>
          <w:szCs w:val="24"/>
          <w:rtl/>
        </w:rPr>
        <w:t>)</w:t>
      </w:r>
      <w:r>
        <w:rPr>
          <w:rFonts w:ascii="David" w:hAnsi="David" w:cs="David"/>
          <w:sz w:val="24"/>
          <w:szCs w:val="24"/>
        </w:rPr>
        <w:t xml:space="preserve"> </w:t>
      </w:r>
    </w:p>
    <w:p w14:paraId="6813845A" w14:textId="77777777" w:rsidR="003E3269" w:rsidRDefault="003E3269" w:rsidP="003E3269">
      <w:pPr>
        <w:spacing w:line="360" w:lineRule="auto"/>
        <w:contextualSpacing/>
        <w:rPr>
          <w:rFonts w:ascii="David" w:hAnsi="David" w:cs="David"/>
          <w:sz w:val="28"/>
          <w:szCs w:val="28"/>
          <w:u w:val="single"/>
          <w:rtl/>
        </w:rPr>
      </w:pPr>
    </w:p>
    <w:p w14:paraId="4FC9649C" w14:textId="0141D32C" w:rsidR="003E3269" w:rsidRDefault="003E3269" w:rsidP="003E3269">
      <w:pPr>
        <w:spacing w:line="360" w:lineRule="auto"/>
        <w:contextualSpacing/>
        <w:rPr>
          <w:rFonts w:ascii="David" w:hAnsi="David" w:cs="David"/>
          <w:sz w:val="26"/>
          <w:szCs w:val="26"/>
          <w:u w:val="single"/>
          <w:rtl/>
        </w:rPr>
      </w:pPr>
      <w:r w:rsidRPr="009708DE">
        <w:rPr>
          <w:rFonts w:ascii="David" w:hAnsi="David" w:cs="David" w:hint="cs"/>
          <w:sz w:val="26"/>
          <w:szCs w:val="26"/>
          <w:u w:val="single"/>
          <w:rtl/>
        </w:rPr>
        <w:t xml:space="preserve">מפגש </w:t>
      </w:r>
      <w:r w:rsidR="002C415C">
        <w:rPr>
          <w:rFonts w:ascii="David" w:hAnsi="David" w:cs="David" w:hint="cs"/>
          <w:sz w:val="26"/>
          <w:szCs w:val="26"/>
          <w:u w:val="single"/>
          <w:rtl/>
        </w:rPr>
        <w:t>9</w:t>
      </w:r>
      <w:r w:rsidR="00F847FD">
        <w:rPr>
          <w:rFonts w:ascii="David" w:hAnsi="David" w:cs="David" w:hint="cs"/>
          <w:sz w:val="26"/>
          <w:szCs w:val="26"/>
          <w:u w:val="single"/>
          <w:rtl/>
        </w:rPr>
        <w:t xml:space="preserve"> המורשת והערכים התרבותיים </w:t>
      </w:r>
    </w:p>
    <w:p w14:paraId="2B752BE6" w14:textId="40C89ABA" w:rsidR="003B5B53" w:rsidRPr="003B5B53" w:rsidRDefault="003B5B53" w:rsidP="003B5B53">
      <w:pPr>
        <w:pStyle w:val="Style2"/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/>
          <w:sz w:val="24"/>
          <w:szCs w:val="24"/>
          <w:lang w:val="he-IL" w:bidi="he-IL"/>
        </w:rPr>
      </w:pPr>
      <w:r>
        <w:rPr>
          <w:rFonts w:ascii="David" w:hAnsi="David" w:cs="David"/>
          <w:kern w:val="0"/>
          <w:sz w:val="24"/>
          <w:szCs w:val="24"/>
          <w:rtl/>
        </w:rPr>
        <w:t xml:space="preserve">שימור מורשת תרבותית </w:t>
      </w:r>
      <w:r w:rsidR="00947BE3">
        <w:rPr>
          <w:rFonts w:ascii="David" w:hAnsi="David" w:cs="David" w:hint="cs"/>
          <w:kern w:val="0"/>
          <w:sz w:val="24"/>
          <w:szCs w:val="24"/>
          <w:rtl/>
        </w:rPr>
        <w:t xml:space="preserve">מוחשית </w:t>
      </w:r>
      <w:r>
        <w:rPr>
          <w:rFonts w:ascii="David" w:hAnsi="David" w:cs="David"/>
          <w:kern w:val="0"/>
          <w:sz w:val="24"/>
          <w:szCs w:val="24"/>
          <w:rtl/>
        </w:rPr>
        <w:t>כולל בתוכו שתי פעולות: הפעולה הפרקטית שהיא פעולת השימור</w:t>
      </w:r>
      <w:r w:rsid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</w:t>
      </w:r>
    </w:p>
    <w:p w14:paraId="6979DDB1" w14:textId="04B33AC8" w:rsidR="00947BE3" w:rsidRPr="00947BE3" w:rsidRDefault="003B5B53" w:rsidP="00947BE3">
      <w:pPr>
        <w:pStyle w:val="Style2"/>
        <w:shd w:val="clear" w:color="auto" w:fill="auto"/>
        <w:bidi/>
        <w:spacing w:after="0" w:line="360" w:lineRule="auto"/>
        <w:contextualSpacing/>
        <w:jc w:val="both"/>
        <w:rPr>
          <w:rFonts w:ascii="David" w:hAnsi="David" w:cs="David"/>
          <w:kern w:val="0"/>
          <w:sz w:val="24"/>
          <w:szCs w:val="24"/>
        </w:rPr>
      </w:pPr>
      <w:r w:rsidRPr="003B5B53">
        <w:rPr>
          <w:rStyle w:val="CharStyle4"/>
          <w:rFonts w:ascii="David" w:hAnsi="David" w:cs="David"/>
          <w:sz w:val="24"/>
          <w:szCs w:val="24"/>
          <w:rtl/>
          <w:lang w:val="he-IL" w:bidi="he-IL"/>
        </w:rPr>
        <w:t>והדיון שמטרתו להגדיר מהי מורשת תרבותית</w:t>
      </w:r>
      <w:r w:rsid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, מהם מאפיינה ומה משמעותה, ובמילים אחרות </w:t>
      </w:r>
      <w:r w:rsidR="00947BE3">
        <w:rPr>
          <w:rStyle w:val="CharStyle4"/>
          <w:rFonts w:ascii="David" w:hAnsi="David" w:cs="David"/>
          <w:sz w:val="24"/>
          <w:szCs w:val="24"/>
          <w:rtl/>
          <w:lang w:val="he-IL" w:bidi="he-IL"/>
        </w:rPr>
        <w:t>–</w:t>
      </w:r>
      <w:r w:rsid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ערכיה התרבותיים</w:t>
      </w:r>
      <w:r w:rsidRPr="003B5B53">
        <w:rPr>
          <w:rStyle w:val="CharStyle4"/>
          <w:rFonts w:ascii="David" w:hAnsi="David" w:cs="David"/>
          <w:sz w:val="24"/>
          <w:szCs w:val="24"/>
          <w:rtl/>
          <w:lang w:val="he-IL" w:bidi="he-IL"/>
        </w:rPr>
        <w:t xml:space="preserve">. 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לכאורה בתהליך קבלת ההחלטות הדיון </w:t>
      </w:r>
      <w:r w:rsid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הרחב במהות המורשת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צריך להיות קודם לדיון המעשי, אך לא כך </w:t>
      </w:r>
      <w:r w:rsid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תמיד </w:t>
      </w:r>
      <w:r w:rsid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קורה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. ברבים מהמקרים המצב הפיסי של </w:t>
      </w:r>
      <w:r w:rsid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הפריט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, מיקומו, עלויות השימור, </w:t>
      </w:r>
      <w:r w:rsid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סוג 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החומר</w:t>
      </w:r>
      <w:r w:rsid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ים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והטכנולוגיות </w:t>
      </w:r>
      <w:r>
        <w:rPr>
          <w:rStyle w:val="CharStyle4"/>
          <w:rFonts w:ascii="David" w:hAnsi="David" w:cs="David"/>
          <w:sz w:val="24"/>
          <w:szCs w:val="24"/>
          <w:rtl/>
          <w:lang w:val="he-IL" w:bidi="he-IL"/>
        </w:rPr>
        <w:t>–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יוקדמו לדיון בערכי הנכס. ולמרות זאת, ברבים מהמסמכים, ההמלצות וההוראות</w:t>
      </w:r>
      <w:r w:rsid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, גם הבינלאומיות וגם הלאומיות/מקומיות,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הדיון בערכי </w:t>
      </w:r>
      <w:r w:rsid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ה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תרבות</w:t>
      </w:r>
      <w:r w:rsid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של הנכס יוצג ראשון ב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מסמכים</w:t>
      </w:r>
      <w:r w:rsid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השונים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. </w:t>
      </w:r>
      <w:r w:rsid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ובלשון אותם מסמכים: "</w:t>
      </w:r>
      <w:r w:rsidR="00947BE3" w:rsidRPr="00947BE3">
        <w:rPr>
          <w:rFonts w:ascii="David" w:hAnsi="David" w:cs="David"/>
          <w:kern w:val="0"/>
          <w:sz w:val="24"/>
          <w:szCs w:val="24"/>
          <w:rtl/>
        </w:rPr>
        <w:t>שימור נכסי מורשה תרבותית נועד להבטיח  את המשך קיומם של נופים ונכסי תרבות הנושאים ערכים תרבותיים היסטוריים וארכיטקטוניים, בתוך תרבות עכשווית ובעלת צרכים מידיים ועתידיים</w:t>
      </w:r>
      <w:r w:rsidR="00947BE3">
        <w:rPr>
          <w:rFonts w:ascii="David" w:hAnsi="David" w:cs="David" w:hint="cs"/>
          <w:kern w:val="0"/>
          <w:sz w:val="24"/>
          <w:szCs w:val="24"/>
          <w:rtl/>
        </w:rPr>
        <w:t>"</w:t>
      </w:r>
      <w:r w:rsidR="00947BE3" w:rsidRPr="00947BE3">
        <w:rPr>
          <w:rFonts w:ascii="David" w:hAnsi="David" w:cs="David"/>
          <w:kern w:val="0"/>
          <w:sz w:val="24"/>
          <w:szCs w:val="24"/>
          <w:rtl/>
        </w:rPr>
        <w:t xml:space="preserve">. </w:t>
      </w:r>
    </w:p>
    <w:p w14:paraId="34FC3194" w14:textId="77777777" w:rsidR="00947BE3" w:rsidRPr="00947BE3" w:rsidRDefault="00947BE3" w:rsidP="00947BE3">
      <w:pPr>
        <w:pStyle w:val="Style2"/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/>
          <w:sz w:val="24"/>
          <w:szCs w:val="24"/>
          <w:rtl/>
          <w:lang w:bidi="he-IL"/>
        </w:rPr>
      </w:pPr>
    </w:p>
    <w:p w14:paraId="30BDB864" w14:textId="33B68525" w:rsidR="009B7794" w:rsidRDefault="009B7794" w:rsidP="009B7794">
      <w:pPr>
        <w:pStyle w:val="Style2"/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/>
          <w:sz w:val="24"/>
          <w:szCs w:val="24"/>
          <w:rtl/>
          <w:lang w:val="he-IL" w:bidi="he-IL"/>
        </w:rPr>
      </w:pP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בחינה של ערכי מורשת תרבות המייחדים מורשת מוחשי</w:t>
      </w:r>
      <w:r w:rsid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ת, נכס, פריט או נוף, 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נדרשת להיכרות </w:t>
      </w:r>
      <w:r w:rsidR="003D35C7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עם 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מספר עקרונות:</w:t>
      </w:r>
    </w:p>
    <w:p w14:paraId="408880FD" w14:textId="4FC94DF1" w:rsidR="00947BE3" w:rsidRDefault="00947BE3" w:rsidP="00F06155">
      <w:pPr>
        <w:pStyle w:val="Style2"/>
        <w:numPr>
          <w:ilvl w:val="0"/>
          <w:numId w:val="5"/>
        </w:numPr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/>
          <w:sz w:val="24"/>
          <w:szCs w:val="24"/>
          <w:lang w:val="he-IL" w:bidi="he-IL"/>
        </w:rPr>
      </w:pPr>
      <w:r w:rsidRPr="00947BE3">
        <w:rPr>
          <w:rStyle w:val="CharStyle4"/>
          <w:rFonts w:ascii="David" w:hAnsi="David" w:cs="David" w:hint="cs"/>
          <w:b/>
          <w:bCs/>
          <w:sz w:val="24"/>
          <w:szCs w:val="24"/>
          <w:rtl/>
          <w:lang w:val="he-IL" w:bidi="he-IL"/>
        </w:rPr>
        <w:t>הגדרה של מורשת תרבות ושימורה</w:t>
      </w:r>
      <w:r w:rsidRP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</w:t>
      </w:r>
      <w:r w:rsidRPr="00947BE3">
        <w:rPr>
          <w:rStyle w:val="CharStyle4"/>
          <w:rFonts w:ascii="David" w:hAnsi="David" w:cs="David"/>
          <w:sz w:val="24"/>
          <w:szCs w:val="24"/>
          <w:rtl/>
          <w:lang w:val="he-IL" w:bidi="he-IL"/>
        </w:rPr>
        <w:t>–</w:t>
      </w:r>
      <w:r w:rsidRP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ככלל, מורשת תרבות מוחשית/לא מוחשית/נוף טבע ותרבות זו העברה </w:t>
      </w:r>
      <w:r w:rsidRPr="00947BE3">
        <w:rPr>
          <w:rFonts w:ascii="David" w:hAnsi="David" w:cs="David"/>
          <w:smallCaps/>
          <w:color w:val="000000"/>
          <w:sz w:val="24"/>
          <w:szCs w:val="24"/>
          <w:shd w:val="clear" w:color="auto" w:fill="FFFFFF"/>
          <w:rtl/>
          <w:lang w:val="he-IL"/>
        </w:rPr>
        <w:t xml:space="preserve">מהעבר להווה, מההווה </w:t>
      </w:r>
      <w:r w:rsidRP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לעתיד</w:t>
      </w:r>
      <w:r w:rsidRP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, של </w:t>
      </w:r>
      <w:r w:rsidRPr="00947BE3">
        <w:rPr>
          <w:rFonts w:ascii="David" w:hAnsi="David" w:cs="David"/>
          <w:smallCaps/>
          <w:color w:val="000000"/>
          <w:sz w:val="24"/>
          <w:szCs w:val="24"/>
          <w:shd w:val="clear" w:color="auto" w:fill="FFFFFF"/>
          <w:rtl/>
          <w:lang w:val="he-IL"/>
        </w:rPr>
        <w:t xml:space="preserve">מכלול ההישגים, הדפוסים, אורחות החיים, הנכסים המוחשיים והלא מוחשיים </w:t>
      </w:r>
      <w:r w:rsidRP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המייחדים קהילה ומבדילים אותה מקהילות אחרות</w:t>
      </w:r>
      <w:r w:rsidRPr="00947BE3">
        <w:rPr>
          <w:rFonts w:ascii="David" w:hAnsi="David" w:cs="David" w:hint="cs"/>
          <w:smallCaps/>
          <w:color w:val="000000"/>
          <w:sz w:val="24"/>
          <w:szCs w:val="24"/>
          <w:shd w:val="clear" w:color="auto" w:fill="FFFFFF"/>
          <w:rtl/>
          <w:lang w:val="he-IL"/>
        </w:rPr>
        <w:t xml:space="preserve">. תהליך ההעברה </w:t>
      </w:r>
      <w:r w:rsidRPr="00947BE3">
        <w:rPr>
          <w:rFonts w:ascii="David" w:hAnsi="David" w:cs="David"/>
          <w:smallCaps/>
          <w:color w:val="000000"/>
          <w:sz w:val="24"/>
          <w:szCs w:val="24"/>
          <w:shd w:val="clear" w:color="auto" w:fill="FFFFFF"/>
          <w:rtl/>
          <w:lang w:val="he-IL"/>
        </w:rPr>
        <w:t xml:space="preserve"> </w:t>
      </w:r>
      <w:r w:rsidRP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מתאפיין בהבטחת שימורם של ערכי התרבות ו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ב</w:t>
      </w:r>
      <w:r w:rsidRP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מזעור הפגיעה בנכסים המיצגים אותם.</w:t>
      </w:r>
    </w:p>
    <w:p w14:paraId="6B8303E4" w14:textId="216D4FD6" w:rsidR="009B7794" w:rsidRDefault="00947BE3" w:rsidP="00947BE3">
      <w:pPr>
        <w:pStyle w:val="Style2"/>
        <w:numPr>
          <w:ilvl w:val="0"/>
          <w:numId w:val="5"/>
        </w:numPr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/>
          <w:sz w:val="24"/>
          <w:szCs w:val="24"/>
          <w:lang w:val="he-IL" w:bidi="he-IL"/>
        </w:rPr>
      </w:pPr>
      <w:r w:rsidRPr="00947BE3">
        <w:rPr>
          <w:rStyle w:val="CharStyle4"/>
          <w:rFonts w:ascii="David" w:hAnsi="David" w:cs="David" w:hint="cs"/>
          <w:b/>
          <w:bCs/>
          <w:sz w:val="24"/>
          <w:szCs w:val="24"/>
          <w:rtl/>
          <w:lang w:val="he-IL" w:bidi="he-IL"/>
        </w:rPr>
        <w:t>ערכי תרבות ניתנים לפרשנות ולביקורת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, זו תופעה דינמית המתאפיינת בתמורות בזמן, בהתאם לשינויים חברתיים, תרבותיים, כלכליים ומרחביים. </w:t>
      </w:r>
    </w:p>
    <w:p w14:paraId="294431B6" w14:textId="2A8A648E" w:rsidR="009B7794" w:rsidRPr="00947BE3" w:rsidRDefault="00947BE3" w:rsidP="00EF31E0">
      <w:pPr>
        <w:pStyle w:val="Style2"/>
        <w:numPr>
          <w:ilvl w:val="0"/>
          <w:numId w:val="5"/>
        </w:numPr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/>
          <w:sz w:val="24"/>
          <w:szCs w:val="24"/>
          <w:lang w:val="he-IL" w:bidi="he-IL"/>
        </w:rPr>
      </w:pPr>
      <w:r w:rsidRPr="00947BE3">
        <w:rPr>
          <w:rStyle w:val="CharStyle4"/>
          <w:rFonts w:ascii="David" w:hAnsi="David" w:cs="David" w:hint="cs"/>
          <w:b/>
          <w:bCs/>
          <w:sz w:val="24"/>
          <w:szCs w:val="24"/>
          <w:rtl/>
          <w:lang w:val="he-IL" w:bidi="he-IL"/>
        </w:rPr>
        <w:lastRenderedPageBreak/>
        <w:t>מעמדם של ערכי תרבות נמדד לאור חשיבותם</w:t>
      </w:r>
      <w:r w:rsidRP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(יותר או פחות). לשם כך </w:t>
      </w:r>
      <w:r w:rsidR="009B7794" w:rsidRP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נדרשים </w:t>
      </w:r>
      <w:r w:rsidR="009B7794" w:rsidRPr="00947BE3">
        <w:rPr>
          <w:rStyle w:val="CharStyle4"/>
          <w:rFonts w:ascii="David" w:hAnsi="David" w:cs="David" w:hint="cs"/>
          <w:b/>
          <w:bCs/>
          <w:sz w:val="24"/>
          <w:szCs w:val="24"/>
          <w:rtl/>
          <w:lang w:val="he-IL" w:bidi="he-IL"/>
        </w:rPr>
        <w:t>כלי מדידה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. כלי המדידה  נשענים על קטגוריות ו</w:t>
      </w:r>
      <w:r w:rsidRP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קריטריונים (תבחינים) שזכו להסכמה רחבה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. בשנים האחרונות נתמכת המדידה במערכות </w:t>
      </w:r>
      <w:r w:rsidR="003D35C7" w:rsidRP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מידע גאוגרפיות (</w:t>
      </w:r>
      <w:r w:rsidR="003D35C7" w:rsidRPr="00947BE3">
        <w:rPr>
          <w:rStyle w:val="CharStyle4"/>
          <w:rFonts w:ascii="David" w:hAnsi="David" w:cs="David"/>
          <w:sz w:val="24"/>
          <w:szCs w:val="24"/>
          <w:lang w:bidi="he-IL"/>
        </w:rPr>
        <w:t>G.I.S</w:t>
      </w:r>
      <w:r w:rsidR="003D35C7" w:rsidRPr="00947BE3">
        <w:rPr>
          <w:rStyle w:val="CharStyle4"/>
          <w:rFonts w:ascii="David" w:hAnsi="David" w:cs="David" w:hint="cs"/>
          <w:sz w:val="24"/>
          <w:szCs w:val="24"/>
          <w:rtl/>
          <w:lang w:bidi="he-IL"/>
        </w:rPr>
        <w:t>)</w:t>
      </w:r>
      <w:r>
        <w:rPr>
          <w:rStyle w:val="CharStyle4"/>
          <w:rFonts w:ascii="David" w:hAnsi="David" w:cs="David" w:hint="cs"/>
          <w:sz w:val="24"/>
          <w:szCs w:val="24"/>
          <w:rtl/>
          <w:lang w:bidi="he-IL"/>
        </w:rPr>
        <w:t xml:space="preserve"> ובאמצעותן נבדקת </w:t>
      </w:r>
      <w:r w:rsidR="00D555BF" w:rsidRPr="00947BE3">
        <w:rPr>
          <w:rStyle w:val="CharStyle4"/>
          <w:rFonts w:ascii="David" w:hAnsi="David" w:cs="David" w:hint="cs"/>
          <w:sz w:val="24"/>
          <w:szCs w:val="24"/>
          <w:rtl/>
          <w:lang w:bidi="he-IL"/>
        </w:rPr>
        <w:t>עוצמת התופעה</w:t>
      </w:r>
      <w:r>
        <w:rPr>
          <w:rStyle w:val="CharStyle4"/>
          <w:rFonts w:ascii="David" w:hAnsi="David" w:cs="David" w:hint="cs"/>
          <w:sz w:val="24"/>
          <w:szCs w:val="24"/>
          <w:rtl/>
          <w:lang w:bidi="he-IL"/>
        </w:rPr>
        <w:t xml:space="preserve">, </w:t>
      </w:r>
      <w:r w:rsidR="003D35C7" w:rsidRPr="00947BE3">
        <w:rPr>
          <w:rStyle w:val="CharStyle4"/>
          <w:rFonts w:ascii="David" w:hAnsi="David" w:cs="David" w:hint="cs"/>
          <w:sz w:val="24"/>
          <w:szCs w:val="24"/>
          <w:rtl/>
          <w:lang w:bidi="he-IL"/>
        </w:rPr>
        <w:t>המשמעות</w:t>
      </w:r>
      <w:r>
        <w:rPr>
          <w:rStyle w:val="CharStyle4"/>
          <w:rFonts w:ascii="David" w:hAnsi="David" w:cs="David" w:hint="cs"/>
          <w:sz w:val="24"/>
          <w:szCs w:val="24"/>
          <w:rtl/>
          <w:lang w:bidi="he-IL"/>
        </w:rPr>
        <w:t xml:space="preserve"> שלה</w:t>
      </w:r>
      <w:r w:rsidR="003D35C7" w:rsidRPr="00947BE3">
        <w:rPr>
          <w:rStyle w:val="CharStyle4"/>
          <w:rFonts w:ascii="David" w:hAnsi="David" w:cs="David" w:hint="cs"/>
          <w:sz w:val="24"/>
          <w:szCs w:val="24"/>
          <w:rtl/>
          <w:lang w:bidi="he-IL"/>
        </w:rPr>
        <w:t xml:space="preserve">, הבולטות </w:t>
      </w:r>
      <w:r>
        <w:rPr>
          <w:rStyle w:val="CharStyle4"/>
          <w:rFonts w:ascii="David" w:hAnsi="David" w:cs="David" w:hint="cs"/>
          <w:sz w:val="24"/>
          <w:szCs w:val="24"/>
          <w:rtl/>
          <w:lang w:bidi="he-IL"/>
        </w:rPr>
        <w:t xml:space="preserve">שלה </w:t>
      </w:r>
      <w:r w:rsidR="003D35C7" w:rsidRPr="00947BE3">
        <w:rPr>
          <w:rStyle w:val="CharStyle4"/>
          <w:rFonts w:ascii="David" w:hAnsi="David" w:cs="David" w:hint="cs"/>
          <w:sz w:val="24"/>
          <w:szCs w:val="24"/>
          <w:rtl/>
          <w:lang w:bidi="he-IL"/>
        </w:rPr>
        <w:t xml:space="preserve">ביחס לערכים אחרים, </w:t>
      </w:r>
      <w:r>
        <w:rPr>
          <w:rStyle w:val="CharStyle4"/>
          <w:rFonts w:ascii="David" w:hAnsi="David" w:cs="David" w:hint="cs"/>
          <w:sz w:val="24"/>
          <w:szCs w:val="24"/>
          <w:rtl/>
          <w:lang w:bidi="he-IL"/>
        </w:rPr>
        <w:t>יחסיה עם הערכים האחרים ועוד.</w:t>
      </w:r>
      <w:r w:rsidR="003D35C7" w:rsidRP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</w:t>
      </w:r>
    </w:p>
    <w:p w14:paraId="4AD02E2A" w14:textId="1BA927BF" w:rsidR="00D555BF" w:rsidRDefault="003D35C7" w:rsidP="009B7794">
      <w:pPr>
        <w:pStyle w:val="Style2"/>
        <w:numPr>
          <w:ilvl w:val="0"/>
          <w:numId w:val="5"/>
        </w:numPr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/>
          <w:sz w:val="24"/>
          <w:szCs w:val="24"/>
          <w:lang w:val="he-IL" w:bidi="he-IL"/>
        </w:rPr>
      </w:pP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מאז שנות התשעים של המאה העשרים </w:t>
      </w:r>
      <w:r w:rsidR="009B7794" w:rsidRPr="003D35C7">
        <w:rPr>
          <w:rStyle w:val="CharStyle4"/>
          <w:rFonts w:ascii="David" w:hAnsi="David" w:cs="David" w:hint="cs"/>
          <w:b/>
          <w:bCs/>
          <w:sz w:val="24"/>
          <w:szCs w:val="24"/>
          <w:rtl/>
          <w:lang w:val="he-IL" w:bidi="he-IL"/>
        </w:rPr>
        <w:t>חל</w:t>
      </w:r>
      <w:r w:rsidR="00947BE3">
        <w:rPr>
          <w:rStyle w:val="CharStyle4"/>
          <w:rFonts w:ascii="David" w:hAnsi="David" w:cs="David" w:hint="cs"/>
          <w:b/>
          <w:bCs/>
          <w:sz w:val="24"/>
          <w:szCs w:val="24"/>
          <w:rtl/>
          <w:lang w:val="he-IL" w:bidi="he-IL"/>
        </w:rPr>
        <w:t xml:space="preserve">ו תמורות </w:t>
      </w:r>
      <w:r w:rsidR="009B7794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בערכי המורשת התרבותית של נכס 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מורשת מקומית, ולצד </w:t>
      </w:r>
      <w:r w:rsidRPr="00F847FD">
        <w:rPr>
          <w:rStyle w:val="CharStyle4"/>
          <w:rFonts w:ascii="David" w:hAnsi="David" w:cs="David" w:hint="cs"/>
          <w:b/>
          <w:bCs/>
          <w:sz w:val="24"/>
          <w:szCs w:val="24"/>
          <w:rtl/>
          <w:lang w:val="he-IL" w:bidi="he-IL"/>
        </w:rPr>
        <w:t xml:space="preserve">הערך ההיסטורי, הנדירות של התופעה מבחינה </w:t>
      </w:r>
      <w:r w:rsidR="00F847FD">
        <w:rPr>
          <w:rStyle w:val="CharStyle4"/>
          <w:rFonts w:ascii="David" w:hAnsi="David" w:cs="David" w:hint="cs"/>
          <w:b/>
          <w:bCs/>
          <w:sz w:val="24"/>
          <w:szCs w:val="24"/>
          <w:rtl/>
          <w:lang w:val="he-IL" w:bidi="he-IL"/>
        </w:rPr>
        <w:t xml:space="preserve">אסטטית עיצובית, </w:t>
      </w:r>
      <w:r w:rsidRPr="00F847FD">
        <w:rPr>
          <w:rStyle w:val="CharStyle4"/>
          <w:rFonts w:ascii="David" w:hAnsi="David" w:cs="David" w:hint="cs"/>
          <w:b/>
          <w:bCs/>
          <w:sz w:val="24"/>
          <w:szCs w:val="24"/>
          <w:rtl/>
          <w:lang w:val="he-IL" w:bidi="he-IL"/>
        </w:rPr>
        <w:t>פיזית-סגנונית</w:t>
      </w:r>
      <w:r w:rsidR="00F847FD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,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נבחנים ערכים חדשים, רבים מהם חברתיים</w:t>
      </w:r>
      <w:r w:rsid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ו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חווייתיים.</w:t>
      </w:r>
      <w:r w:rsidR="009B7794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</w:t>
      </w:r>
      <w:r w:rsidR="009A48DA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מעמדם </w:t>
      </w:r>
      <w:r w:rsidR="00D555BF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של אלה </w:t>
      </w:r>
      <w:r w:rsidR="009A48DA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מתחזק </w:t>
      </w:r>
      <w:r w:rsidR="00D555BF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ויש לכך עדות ב</w:t>
      </w:r>
      <w:r w:rsidR="00DE1A57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כתיבתם של מסמכי מורשת, </w:t>
      </w:r>
      <w:r w:rsidR="00D555BF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ב</w:t>
      </w:r>
      <w:r w:rsidR="00DE1A57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שכתובם, ובעיקר - ב</w:t>
      </w:r>
      <w:r w:rsidR="009A48DA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תהליך קבלת החלטות מה לכלול ברשימת שימור, איך לשמר ולאיזה תפקיד.</w:t>
      </w:r>
      <w:r w:rsidR="00890F0E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</w:t>
      </w:r>
    </w:p>
    <w:p w14:paraId="7AED6938" w14:textId="7343B1C0" w:rsidR="00F847FD" w:rsidRDefault="00D555BF" w:rsidP="00836D80">
      <w:pPr>
        <w:pStyle w:val="Style2"/>
        <w:numPr>
          <w:ilvl w:val="0"/>
          <w:numId w:val="5"/>
        </w:numPr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/>
          <w:b/>
          <w:bCs/>
          <w:sz w:val="24"/>
          <w:szCs w:val="24"/>
          <w:u w:val="single"/>
          <w:lang w:val="he-IL" w:bidi="he-IL"/>
        </w:rPr>
      </w:pPr>
      <w:r w:rsidRP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לשינוי </w:t>
      </w:r>
      <w:r w:rsidR="00890F0E" w:rsidRP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ב</w:t>
      </w:r>
      <w:r w:rsidR="00947BE3" w:rsidRP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סוג ה</w:t>
      </w:r>
      <w:r w:rsidRP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ערכים השלכות </w:t>
      </w:r>
      <w:r w:rsidR="00947BE3" w:rsidRP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>על מיונם של מכסי מורשת תרבות ונוף, השתלבותם בתכנון מרחבים ומרקמים, תפקידיהם ופיתוחם. כך למשל, את ההתמקדות בשימורו של פרט בודד, נכס או נוף, מחליפה העדפה לשמר ולפתח מכלול/מקבץ/מרקם/מרחב וציר נכסי תרבות (</w:t>
      </w:r>
      <w:r w:rsidRPr="00947BE3">
        <w:rPr>
          <w:rFonts w:ascii="David" w:eastAsia="Times New Roman" w:hAnsi="David" w:cs="David"/>
          <w:color w:val="000000"/>
          <w:sz w:val="24"/>
          <w:szCs w:val="24"/>
          <w:lang w:eastAsia="es-ES"/>
        </w:rPr>
        <w:t>texture</w:t>
      </w:r>
      <w:r w:rsidRPr="00947BE3"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</w:t>
      </w:r>
      <w:r w:rsidRPr="00947BE3">
        <w:rPr>
          <w:rFonts w:ascii="David" w:eastAsia="Times New Roman" w:hAnsi="David" w:cs="David"/>
          <w:color w:val="000000"/>
          <w:sz w:val="24"/>
          <w:szCs w:val="24"/>
          <w:lang w:eastAsia="es-ES"/>
        </w:rPr>
        <w:t>ensemble</w:t>
      </w:r>
      <w:r w:rsidR="00947BE3" w:rsidRPr="00947BE3">
        <w:rPr>
          <w:rFonts w:ascii="David" w:eastAsia="Times New Roman" w:hAnsi="David" w:cs="David" w:hint="cs"/>
          <w:color w:val="000000"/>
          <w:sz w:val="24"/>
          <w:szCs w:val="24"/>
          <w:rtl/>
          <w:lang w:eastAsia="es-ES"/>
        </w:rPr>
        <w:t>).</w:t>
      </w:r>
      <w:r w:rsidRPr="00947BE3">
        <w:rPr>
          <w:rFonts w:ascii="David" w:eastAsia="Times New Roman" w:hAnsi="David" w:cs="David" w:hint="cs"/>
          <w:color w:val="000000"/>
          <w:sz w:val="24"/>
          <w:szCs w:val="24"/>
          <w:rtl/>
          <w:lang w:eastAsia="es-ES"/>
        </w:rPr>
        <w:t xml:space="preserve"> </w:t>
      </w:r>
    </w:p>
    <w:p w14:paraId="4051421F" w14:textId="55A03D1B" w:rsidR="00947BE3" w:rsidRDefault="00947BE3" w:rsidP="00947BE3">
      <w:pPr>
        <w:pStyle w:val="Style2"/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/>
          <w:b/>
          <w:bCs/>
          <w:sz w:val="24"/>
          <w:szCs w:val="24"/>
          <w:u w:val="single"/>
          <w:rtl/>
          <w:lang w:val="he-IL" w:bidi="he-IL"/>
        </w:rPr>
      </w:pPr>
      <w:r>
        <w:rPr>
          <w:rStyle w:val="CharStyle4"/>
          <w:rFonts w:ascii="David" w:hAnsi="David" w:cs="David" w:hint="cs"/>
          <w:b/>
          <w:bCs/>
          <w:sz w:val="24"/>
          <w:szCs w:val="24"/>
          <w:u w:val="single"/>
          <w:rtl/>
          <w:lang w:val="he-IL" w:bidi="he-IL"/>
        </w:rPr>
        <w:t>דוגמאות לתמורות בערכי מורשת תרבות ואפשרויות מדידתן</w:t>
      </w:r>
    </w:p>
    <w:p w14:paraId="779A9661" w14:textId="03A0D578" w:rsidR="00947BE3" w:rsidRDefault="00947BE3" w:rsidP="00947BE3">
      <w:pPr>
        <w:pStyle w:val="Style2"/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/>
          <w:sz w:val="24"/>
          <w:szCs w:val="24"/>
          <w:rtl/>
          <w:lang w:val="he-IL" w:bidi="he-IL"/>
        </w:rPr>
      </w:pP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לערכים ההיסטוריים או העיצוביים/אסטטיים מצטרפים ערכים המייצגים נושאים חברתיים, תרבותיים, חווייתיים וסביבתיים/אקולוגיים: רצף והמשכיות; ראשוניות; נדירות התופעה; מגוון, שונות; אופייניות לסוג; מרקם וקונטקסט/הקשר; זהות מקום, גאווה מקומית, יחס למקום; אידאולוגיה, דת ופוליטיקה; ערכים כלכליים (עלויות שימור וסוג השמשה) </w:t>
      </w:r>
      <w:r>
        <w:rPr>
          <w:rStyle w:val="CharStyle4"/>
          <w:rFonts w:ascii="David" w:hAnsi="David" w:cs="David"/>
          <w:sz w:val="24"/>
          <w:szCs w:val="24"/>
          <w:rtl/>
          <w:lang w:val="he-IL" w:bidi="he-IL"/>
        </w:rPr>
        <w:t>–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ניצול נפח או שטח; התאמה תפקודית; עלויות שימור ותשתית תומכת; תמורות בשימושי קרקע;  ערכים סביבתיים כמו </w:t>
      </w:r>
      <w:r>
        <w:rPr>
          <w:rStyle w:val="CharStyle4"/>
          <w:rFonts w:ascii="David" w:hAnsi="David" w:cs="David"/>
          <w:sz w:val="24"/>
          <w:szCs w:val="24"/>
          <w:rtl/>
          <w:lang w:val="he-IL" w:bidi="he-IL"/>
        </w:rPr>
        <w:t>–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שמירה על מאפייני מרקם ומרחב (גרעין היסטורי עירוני או שטח פתוח).</w:t>
      </w:r>
    </w:p>
    <w:p w14:paraId="070D3951" w14:textId="77777777" w:rsidR="00947BE3" w:rsidRDefault="00947BE3" w:rsidP="00947BE3">
      <w:pPr>
        <w:pStyle w:val="Style2"/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</w:pPr>
    </w:p>
    <w:p w14:paraId="0C03A874" w14:textId="3C7AC209" w:rsidR="00947BE3" w:rsidRDefault="00947BE3" w:rsidP="00947BE3">
      <w:pPr>
        <w:pStyle w:val="Style2"/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/>
          <w:sz w:val="24"/>
          <w:szCs w:val="24"/>
          <w:rtl/>
          <w:lang w:val="he-IL" w:bidi="he-IL"/>
        </w:rPr>
      </w:pPr>
      <w:r>
        <w:rPr>
          <w:noProof/>
        </w:rPr>
        <w:drawing>
          <wp:inline distT="0" distB="0" distL="0" distR="0" wp14:anchorId="4C729E1F" wp14:editId="32B9086E">
            <wp:extent cx="5320030" cy="3337828"/>
            <wp:effectExtent l="0" t="0" r="0" b="0"/>
            <wp:docPr id="1383718190" name="גרפיק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718190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231" cy="335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2F360" w14:textId="77777777" w:rsidR="00947BE3" w:rsidRDefault="00947BE3" w:rsidP="00947BE3">
      <w:pPr>
        <w:pStyle w:val="Style2"/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/>
          <w:sz w:val="24"/>
          <w:szCs w:val="24"/>
          <w:rtl/>
          <w:lang w:val="he-IL" w:bidi="he-IL"/>
        </w:rPr>
      </w:pPr>
    </w:p>
    <w:p w14:paraId="0AFA69F8" w14:textId="77777777" w:rsidR="00947BE3" w:rsidRPr="00947BE3" w:rsidRDefault="00947BE3" w:rsidP="00947BE3">
      <w:pPr>
        <w:pStyle w:val="Style2"/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/>
          <w:sz w:val="24"/>
          <w:szCs w:val="24"/>
          <w:rtl/>
          <w:lang w:val="he-IL" w:bidi="he-IL"/>
        </w:rPr>
      </w:pPr>
    </w:p>
    <w:p w14:paraId="324259F2" w14:textId="77777777" w:rsidR="00947BE3" w:rsidRDefault="00947BE3" w:rsidP="00F847FD">
      <w:pPr>
        <w:pStyle w:val="Style2"/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/>
          <w:b/>
          <w:bCs/>
          <w:sz w:val="24"/>
          <w:szCs w:val="24"/>
          <w:u w:val="single"/>
          <w:rtl/>
          <w:lang w:val="he-IL" w:bidi="he-IL"/>
        </w:rPr>
      </w:pPr>
    </w:p>
    <w:p w14:paraId="1A9E5B85" w14:textId="77777777" w:rsidR="00947BE3" w:rsidRDefault="00947BE3" w:rsidP="00947BE3">
      <w:pPr>
        <w:pStyle w:val="Style2"/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/>
          <w:b/>
          <w:bCs/>
          <w:sz w:val="24"/>
          <w:szCs w:val="24"/>
          <w:u w:val="single"/>
          <w:rtl/>
          <w:lang w:val="he-IL" w:bidi="he-IL"/>
        </w:rPr>
      </w:pPr>
    </w:p>
    <w:p w14:paraId="3464147E" w14:textId="0C95A501" w:rsidR="009B7794" w:rsidRPr="001D5BA9" w:rsidRDefault="00F847FD" w:rsidP="00947BE3">
      <w:pPr>
        <w:pStyle w:val="Style2"/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/>
          <w:b/>
          <w:bCs/>
          <w:sz w:val="24"/>
          <w:szCs w:val="24"/>
          <w:u w:val="single"/>
          <w:rtl/>
          <w:lang w:val="he-IL" w:bidi="he-IL"/>
        </w:rPr>
      </w:pPr>
      <w:r>
        <w:rPr>
          <w:rStyle w:val="CharStyle4"/>
          <w:rFonts w:ascii="David" w:hAnsi="David" w:cs="David" w:hint="cs"/>
          <w:b/>
          <w:bCs/>
          <w:sz w:val="24"/>
          <w:szCs w:val="24"/>
          <w:u w:val="single"/>
          <w:rtl/>
          <w:lang w:val="he-IL" w:bidi="he-IL"/>
        </w:rPr>
        <w:t>בחינ</w:t>
      </w:r>
      <w:r w:rsidR="00947BE3">
        <w:rPr>
          <w:rStyle w:val="CharStyle4"/>
          <w:rFonts w:ascii="David" w:hAnsi="David" w:cs="David" w:hint="cs"/>
          <w:b/>
          <w:bCs/>
          <w:sz w:val="24"/>
          <w:szCs w:val="24"/>
          <w:u w:val="single"/>
          <w:rtl/>
          <w:lang w:val="he-IL" w:bidi="he-IL"/>
        </w:rPr>
        <w:t xml:space="preserve">ה של </w:t>
      </w:r>
      <w:r>
        <w:rPr>
          <w:rStyle w:val="CharStyle4"/>
          <w:rFonts w:ascii="David" w:hAnsi="David" w:cs="David" w:hint="cs"/>
          <w:b/>
          <w:bCs/>
          <w:sz w:val="24"/>
          <w:szCs w:val="24"/>
          <w:u w:val="single"/>
          <w:rtl/>
          <w:lang w:val="he-IL" w:bidi="he-IL"/>
        </w:rPr>
        <w:t>מכלול נופי או מקבץ נכסים במרחב עירוני וכפרי</w:t>
      </w:r>
    </w:p>
    <w:p w14:paraId="2721FF02" w14:textId="77777777" w:rsidR="00DE1A57" w:rsidRDefault="00DE1A57" w:rsidP="00C775B5">
      <w:pPr>
        <w:numPr>
          <w:ilvl w:val="0"/>
          <w:numId w:val="4"/>
        </w:numPr>
        <w:spacing w:after="10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הערך ההיסטורי</w:t>
      </w:r>
    </w:p>
    <w:p w14:paraId="1BBC58A8" w14:textId="2B6B12E5" w:rsidR="001D5BA9" w:rsidRPr="009A48DA" w:rsidRDefault="001D5BA9" w:rsidP="001D5BA9">
      <w:pPr>
        <w:numPr>
          <w:ilvl w:val="0"/>
          <w:numId w:val="4"/>
        </w:numPr>
        <w:spacing w:after="10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הערך ה</w:t>
      </w:r>
      <w:r w:rsidRPr="009A48DA">
        <w:rPr>
          <w:rFonts w:ascii="David" w:hAnsi="David" w:cs="David"/>
          <w:sz w:val="24"/>
          <w:szCs w:val="24"/>
          <w:rtl/>
        </w:rPr>
        <w:t>עיצוב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9A48DA">
        <w:rPr>
          <w:rFonts w:ascii="David" w:hAnsi="David" w:cs="David"/>
          <w:sz w:val="24"/>
          <w:szCs w:val="24"/>
          <w:rtl/>
        </w:rPr>
        <w:t xml:space="preserve"> </w:t>
      </w:r>
      <w:r w:rsidRPr="009A48DA">
        <w:rPr>
          <w:rFonts w:ascii="David" w:hAnsi="David" w:cs="David"/>
          <w:sz w:val="24"/>
          <w:szCs w:val="24"/>
        </w:rPr>
        <w:t>-</w:t>
      </w:r>
      <w:r w:rsidRPr="009A48DA">
        <w:rPr>
          <w:rFonts w:ascii="David" w:hAnsi="David" w:cs="David"/>
          <w:sz w:val="24"/>
          <w:szCs w:val="24"/>
          <w:rtl/>
        </w:rPr>
        <w:t xml:space="preserve"> ניתן לזהות במרכיבי המ</w:t>
      </w:r>
      <w:r w:rsidRPr="009A48DA">
        <w:rPr>
          <w:rFonts w:ascii="David" w:hAnsi="David" w:cs="David" w:hint="cs"/>
          <w:sz w:val="24"/>
          <w:szCs w:val="24"/>
          <w:rtl/>
        </w:rPr>
        <w:t xml:space="preserve">כלול </w:t>
      </w:r>
      <w:r w:rsidRPr="009A48DA">
        <w:rPr>
          <w:rFonts w:ascii="David" w:hAnsi="David" w:cs="David"/>
          <w:sz w:val="24"/>
          <w:szCs w:val="24"/>
          <w:rtl/>
        </w:rPr>
        <w:t>איכויות אסתטיות של סגנון, קנה מידה, פרופורציות ופרטים ייחודיים.</w:t>
      </w:r>
    </w:p>
    <w:p w14:paraId="23A1F4E8" w14:textId="77777777" w:rsidR="001D5BA9" w:rsidRPr="009A48DA" w:rsidRDefault="001D5BA9" w:rsidP="001D5BA9">
      <w:pPr>
        <w:numPr>
          <w:ilvl w:val="0"/>
          <w:numId w:val="4"/>
        </w:numPr>
        <w:spacing w:after="10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A48DA">
        <w:rPr>
          <w:rFonts w:ascii="David" w:hAnsi="David" w:cs="David"/>
          <w:sz w:val="24"/>
          <w:szCs w:val="24"/>
          <w:rtl/>
        </w:rPr>
        <w:t xml:space="preserve">חומרים, טכנולוגיות ושיטות בניה – עדויות לשימוש בחומרים אותנטיים ובשיטות בניה שחלקן עברו מן העולם </w:t>
      </w:r>
      <w:r w:rsidRPr="009A48DA">
        <w:rPr>
          <w:rFonts w:ascii="David" w:hAnsi="David" w:cs="David" w:hint="cs"/>
          <w:sz w:val="24"/>
          <w:szCs w:val="24"/>
          <w:rtl/>
        </w:rPr>
        <w:t xml:space="preserve">והם מבטאים </w:t>
      </w:r>
      <w:r w:rsidRPr="009A48DA">
        <w:rPr>
          <w:rFonts w:ascii="David" w:hAnsi="David" w:cs="David"/>
          <w:sz w:val="24"/>
          <w:szCs w:val="24"/>
          <w:rtl/>
        </w:rPr>
        <w:t>את הצביון ההיסטורי של המרחב הבנוי.</w:t>
      </w:r>
    </w:p>
    <w:p w14:paraId="2D5DA8F6" w14:textId="67F6A43F" w:rsidR="00DE1A57" w:rsidRDefault="00DE1A57" w:rsidP="00C775B5">
      <w:pPr>
        <w:numPr>
          <w:ilvl w:val="0"/>
          <w:numId w:val="4"/>
        </w:numPr>
        <w:spacing w:after="10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נדירות התופעה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או שכיחות (מורשת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וורנקולרית</w:t>
      </w:r>
      <w:proofErr w:type="spellEnd"/>
      <w:r>
        <w:rPr>
          <w:rFonts w:ascii="David" w:hAnsi="David" w:cs="David" w:hint="cs"/>
          <w:sz w:val="24"/>
          <w:szCs w:val="24"/>
          <w:rtl/>
        </w:rPr>
        <w:t>)</w:t>
      </w:r>
      <w:r w:rsidR="00890F0E">
        <w:rPr>
          <w:rFonts w:ascii="David" w:hAnsi="David" w:cs="David" w:hint="cs"/>
          <w:sz w:val="24"/>
          <w:szCs w:val="24"/>
          <w:rtl/>
        </w:rPr>
        <w:t xml:space="preserve"> המדגישים שונות ומגוון</w:t>
      </w:r>
    </w:p>
    <w:p w14:paraId="4F686159" w14:textId="77777777" w:rsidR="001D5BA9" w:rsidRPr="009A48DA" w:rsidRDefault="001D5BA9" w:rsidP="001D5BA9">
      <w:pPr>
        <w:numPr>
          <w:ilvl w:val="0"/>
          <w:numId w:val="4"/>
        </w:numPr>
        <w:spacing w:after="10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A48DA">
        <w:rPr>
          <w:rFonts w:ascii="David" w:hAnsi="David" w:cs="David"/>
          <w:sz w:val="24"/>
          <w:szCs w:val="24"/>
          <w:rtl/>
        </w:rPr>
        <w:t>ייחודיות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/>
          <w:sz w:val="24"/>
          <w:szCs w:val="24"/>
        </w:rPr>
        <w:t>unique</w:t>
      </w:r>
      <w:r>
        <w:rPr>
          <w:rFonts w:ascii="David" w:hAnsi="David" w:cs="David" w:hint="cs"/>
          <w:sz w:val="24"/>
          <w:szCs w:val="24"/>
          <w:rtl/>
        </w:rPr>
        <w:t xml:space="preserve">) </w:t>
      </w:r>
      <w:r w:rsidRPr="009A48DA">
        <w:rPr>
          <w:rFonts w:ascii="David" w:hAnsi="David" w:cs="David"/>
          <w:sz w:val="24"/>
          <w:szCs w:val="24"/>
          <w:rtl/>
        </w:rPr>
        <w:t>- מרכיבי המקבץ והיחסים ביניהם הם שמבדילים מרחב שימור אחד מהאחר.</w:t>
      </w:r>
    </w:p>
    <w:p w14:paraId="01DF4DE2" w14:textId="2D04BD19" w:rsidR="00D555BF" w:rsidRDefault="00D555BF" w:rsidP="00C775B5">
      <w:pPr>
        <w:numPr>
          <w:ilvl w:val="0"/>
          <w:numId w:val="4"/>
        </w:numPr>
        <w:spacing w:after="10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אותנטיות</w:t>
      </w:r>
      <w:r w:rsidR="00F847FD">
        <w:rPr>
          <w:rFonts w:ascii="David" w:hAnsi="David" w:cs="David" w:hint="cs"/>
          <w:sz w:val="24"/>
          <w:szCs w:val="24"/>
          <w:rtl/>
        </w:rPr>
        <w:t xml:space="preserve"> </w:t>
      </w:r>
      <w:r w:rsidR="00F847FD">
        <w:rPr>
          <w:rFonts w:ascii="David" w:hAnsi="David" w:cs="David"/>
          <w:sz w:val="24"/>
          <w:szCs w:val="24"/>
          <w:rtl/>
        </w:rPr>
        <w:t>–</w:t>
      </w:r>
      <w:r w:rsidR="00F847FD">
        <w:rPr>
          <w:rFonts w:ascii="David" w:hAnsi="David" w:cs="David" w:hint="cs"/>
          <w:sz w:val="24"/>
          <w:szCs w:val="24"/>
          <w:rtl/>
        </w:rPr>
        <w:t xml:space="preserve"> מקוריות, נאמנות למקור; </w:t>
      </w:r>
      <w:proofErr w:type="spellStart"/>
      <w:r w:rsidR="00F847FD">
        <w:rPr>
          <w:rFonts w:ascii="David" w:hAnsi="David" w:cs="David" w:hint="cs"/>
          <w:sz w:val="24"/>
          <w:szCs w:val="24"/>
          <w:rtl/>
        </w:rPr>
        <w:t>לאמיתותו</w:t>
      </w:r>
      <w:proofErr w:type="spellEnd"/>
      <w:r w:rsidR="00F847FD">
        <w:rPr>
          <w:rFonts w:ascii="David" w:hAnsi="David" w:cs="David" w:hint="cs"/>
          <w:sz w:val="24"/>
          <w:szCs w:val="24"/>
          <w:rtl/>
        </w:rPr>
        <w:t xml:space="preserve"> ולעובדה שהוא אמיתי ולא חיקוי (בחומר, בטכנולוגיה, במרכיבי הנוף)</w:t>
      </w:r>
    </w:p>
    <w:p w14:paraId="60DF8A56" w14:textId="746F4EE4" w:rsidR="00C775B5" w:rsidRPr="009A48DA" w:rsidRDefault="00C775B5" w:rsidP="00C775B5">
      <w:pPr>
        <w:numPr>
          <w:ilvl w:val="0"/>
          <w:numId w:val="4"/>
        </w:numPr>
        <w:spacing w:after="10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A48DA">
        <w:rPr>
          <w:rFonts w:ascii="David" w:hAnsi="David" w:cs="David"/>
          <w:sz w:val="24"/>
          <w:szCs w:val="24"/>
          <w:rtl/>
        </w:rPr>
        <w:t>שלמו</w:t>
      </w:r>
      <w:r w:rsidRPr="009A48DA">
        <w:rPr>
          <w:rFonts w:ascii="David" w:hAnsi="David" w:cs="David" w:hint="cs"/>
          <w:sz w:val="24"/>
          <w:szCs w:val="24"/>
          <w:rtl/>
        </w:rPr>
        <w:t>ת</w:t>
      </w:r>
      <w:r w:rsidR="00F847FD">
        <w:rPr>
          <w:rFonts w:ascii="David" w:hAnsi="David" w:cs="David" w:hint="cs"/>
          <w:sz w:val="24"/>
          <w:szCs w:val="24"/>
          <w:rtl/>
        </w:rPr>
        <w:t>/יושרה</w:t>
      </w:r>
      <w:r w:rsidRPr="009A48DA">
        <w:rPr>
          <w:rFonts w:ascii="David" w:hAnsi="David" w:cs="David" w:hint="cs"/>
          <w:sz w:val="24"/>
          <w:szCs w:val="24"/>
          <w:rtl/>
        </w:rPr>
        <w:t xml:space="preserve"> (</w:t>
      </w:r>
      <w:r w:rsidRPr="009A48DA">
        <w:rPr>
          <w:rFonts w:ascii="David" w:hAnsi="David" w:cs="David"/>
          <w:sz w:val="24"/>
          <w:szCs w:val="24"/>
        </w:rPr>
        <w:t>integrity</w:t>
      </w:r>
      <w:r w:rsidRPr="009A48DA">
        <w:rPr>
          <w:rFonts w:ascii="David" w:hAnsi="David" w:cs="David" w:hint="cs"/>
          <w:sz w:val="24"/>
          <w:szCs w:val="24"/>
          <w:rtl/>
        </w:rPr>
        <w:t xml:space="preserve">)  - </w:t>
      </w:r>
      <w:r w:rsidRPr="009A48DA">
        <w:rPr>
          <w:rFonts w:ascii="David" w:hAnsi="David" w:cs="David"/>
          <w:sz w:val="24"/>
          <w:szCs w:val="24"/>
          <w:rtl/>
        </w:rPr>
        <w:t>מקבץ נכסי מורשת בנויה</w:t>
      </w:r>
      <w:r w:rsidRPr="009A48DA">
        <w:rPr>
          <w:rFonts w:ascii="David" w:hAnsi="David" w:cs="David" w:hint="cs"/>
          <w:sz w:val="24"/>
          <w:szCs w:val="24"/>
          <w:rtl/>
        </w:rPr>
        <w:t xml:space="preserve"> ופריטים נופיים ה</w:t>
      </w:r>
      <w:r w:rsidRPr="009A48DA">
        <w:rPr>
          <w:rFonts w:ascii="David" w:hAnsi="David" w:cs="David"/>
          <w:sz w:val="24"/>
          <w:szCs w:val="24"/>
          <w:rtl/>
        </w:rPr>
        <w:t xml:space="preserve">מתייחד ברמה גבוהה של </w:t>
      </w:r>
      <w:r w:rsidRPr="009A48DA">
        <w:rPr>
          <w:rFonts w:ascii="David" w:hAnsi="David" w:cs="David" w:hint="cs"/>
          <w:sz w:val="24"/>
          <w:szCs w:val="24"/>
          <w:rtl/>
        </w:rPr>
        <w:t>קשר ו</w:t>
      </w:r>
      <w:r w:rsidRPr="009A48DA">
        <w:rPr>
          <w:rFonts w:ascii="David" w:hAnsi="David" w:cs="David"/>
          <w:sz w:val="24"/>
          <w:szCs w:val="24"/>
          <w:rtl/>
        </w:rPr>
        <w:t>התאמה ביניהם. אם אחד מהמרכיב</w:t>
      </w:r>
      <w:r w:rsidRPr="009A48DA">
        <w:rPr>
          <w:rFonts w:ascii="David" w:hAnsi="David" w:cs="David" w:hint="cs"/>
          <w:sz w:val="24"/>
          <w:szCs w:val="24"/>
          <w:rtl/>
        </w:rPr>
        <w:t xml:space="preserve"> המקבץ </w:t>
      </w:r>
      <w:r w:rsidRPr="009A48DA">
        <w:rPr>
          <w:rFonts w:ascii="David" w:hAnsi="David" w:cs="David"/>
          <w:sz w:val="24"/>
          <w:szCs w:val="24"/>
          <w:rtl/>
        </w:rPr>
        <w:t>נגרע, שלמותו נפגעת.</w:t>
      </w:r>
      <w:r w:rsidR="00F847FD">
        <w:rPr>
          <w:rFonts w:ascii="David" w:hAnsi="David" w:cs="David" w:hint="cs"/>
          <w:sz w:val="24"/>
          <w:szCs w:val="24"/>
          <w:rtl/>
        </w:rPr>
        <w:t xml:space="preserve"> וגם </w:t>
      </w:r>
      <w:r w:rsidR="00F847FD">
        <w:rPr>
          <w:rFonts w:ascii="David" w:hAnsi="David" w:cs="David"/>
          <w:sz w:val="24"/>
          <w:szCs w:val="24"/>
          <w:rtl/>
        </w:rPr>
        <w:t>–</w:t>
      </w:r>
      <w:r w:rsidR="00F847FD">
        <w:rPr>
          <w:rFonts w:ascii="David" w:hAnsi="David" w:cs="David" w:hint="cs"/>
          <w:sz w:val="24"/>
          <w:szCs w:val="24"/>
          <w:rtl/>
        </w:rPr>
        <w:t xml:space="preserve"> הבחינה נסמכת על יושרה מחקרית ונמנעת מהשערות.</w:t>
      </w:r>
    </w:p>
    <w:p w14:paraId="55418144" w14:textId="77777777" w:rsidR="00C775B5" w:rsidRPr="009A48DA" w:rsidRDefault="00C775B5" w:rsidP="00C775B5">
      <w:pPr>
        <w:numPr>
          <w:ilvl w:val="0"/>
          <w:numId w:val="4"/>
        </w:numPr>
        <w:spacing w:after="10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A48DA">
        <w:rPr>
          <w:rFonts w:ascii="David" w:hAnsi="David" w:cs="David"/>
          <w:sz w:val="24"/>
          <w:szCs w:val="24"/>
          <w:rtl/>
        </w:rPr>
        <w:t xml:space="preserve">מיקום - במכלול </w:t>
      </w:r>
      <w:r w:rsidRPr="009A48DA">
        <w:rPr>
          <w:rFonts w:ascii="David" w:hAnsi="David" w:cs="David" w:hint="cs"/>
          <w:sz w:val="24"/>
          <w:szCs w:val="24"/>
          <w:rtl/>
        </w:rPr>
        <w:t>המיועד</w:t>
      </w:r>
      <w:r w:rsidRPr="009A48DA">
        <w:rPr>
          <w:rFonts w:ascii="David" w:hAnsi="David" w:cs="David"/>
          <w:sz w:val="24"/>
          <w:szCs w:val="24"/>
          <w:rtl/>
        </w:rPr>
        <w:t xml:space="preserve"> לשימור חשובה הקרבה בין </w:t>
      </w:r>
      <w:r w:rsidRPr="009A48DA">
        <w:rPr>
          <w:rFonts w:ascii="David" w:hAnsi="David" w:cs="David" w:hint="cs"/>
          <w:sz w:val="24"/>
          <w:szCs w:val="24"/>
          <w:rtl/>
        </w:rPr>
        <w:t>מקבץ הנכסים</w:t>
      </w:r>
      <w:r w:rsidRPr="009A48DA">
        <w:rPr>
          <w:rFonts w:ascii="David" w:hAnsi="David" w:cs="David"/>
          <w:sz w:val="24"/>
          <w:szCs w:val="24"/>
          <w:rtl/>
        </w:rPr>
        <w:t xml:space="preserve"> ההיסטורי</w:t>
      </w:r>
      <w:r w:rsidRPr="009A48DA">
        <w:rPr>
          <w:rFonts w:ascii="David" w:hAnsi="David" w:cs="David" w:hint="cs"/>
          <w:sz w:val="24"/>
          <w:szCs w:val="24"/>
          <w:rtl/>
        </w:rPr>
        <w:t>ים</w:t>
      </w:r>
      <w:r w:rsidRPr="009A48DA">
        <w:rPr>
          <w:rFonts w:ascii="David" w:hAnsi="David" w:cs="David"/>
          <w:sz w:val="24"/>
          <w:szCs w:val="24"/>
          <w:rtl/>
        </w:rPr>
        <w:t xml:space="preserve"> </w:t>
      </w:r>
      <w:r w:rsidRPr="009A48DA">
        <w:rPr>
          <w:rFonts w:ascii="David" w:hAnsi="David" w:cs="David" w:hint="cs"/>
          <w:sz w:val="24"/>
          <w:szCs w:val="24"/>
          <w:rtl/>
        </w:rPr>
        <w:t>והפריטים</w:t>
      </w:r>
      <w:r w:rsidRPr="009A48DA">
        <w:rPr>
          <w:rFonts w:ascii="David" w:hAnsi="David" w:cs="David"/>
          <w:sz w:val="24"/>
          <w:szCs w:val="24"/>
          <w:rtl/>
        </w:rPr>
        <w:t xml:space="preserve"> הנופי</w:t>
      </w:r>
      <w:r w:rsidRPr="009A48DA">
        <w:rPr>
          <w:rFonts w:ascii="David" w:hAnsi="David" w:cs="David" w:hint="cs"/>
          <w:sz w:val="24"/>
          <w:szCs w:val="24"/>
          <w:rtl/>
        </w:rPr>
        <w:t>ים</w:t>
      </w:r>
      <w:r w:rsidRPr="009A48DA">
        <w:rPr>
          <w:rFonts w:ascii="David" w:hAnsi="David" w:cs="David"/>
          <w:sz w:val="24"/>
          <w:szCs w:val="24"/>
          <w:rtl/>
        </w:rPr>
        <w:t xml:space="preserve"> המוכרז</w:t>
      </w:r>
      <w:r w:rsidRPr="009A48DA">
        <w:rPr>
          <w:rFonts w:ascii="David" w:hAnsi="David" w:cs="David" w:hint="cs"/>
          <w:sz w:val="24"/>
          <w:szCs w:val="24"/>
          <w:rtl/>
        </w:rPr>
        <w:t>ים</w:t>
      </w:r>
      <w:r w:rsidRPr="009A48DA">
        <w:rPr>
          <w:rFonts w:ascii="David" w:hAnsi="David" w:cs="David"/>
          <w:sz w:val="24"/>
          <w:szCs w:val="24"/>
          <w:rtl/>
        </w:rPr>
        <w:t xml:space="preserve"> לשימור לבין המ</w:t>
      </w:r>
      <w:r w:rsidRPr="009A48DA">
        <w:rPr>
          <w:rFonts w:ascii="David" w:hAnsi="David" w:cs="David" w:hint="cs"/>
          <w:sz w:val="24"/>
          <w:szCs w:val="24"/>
          <w:rtl/>
        </w:rPr>
        <w:t>י</w:t>
      </w:r>
      <w:r w:rsidRPr="009A48DA">
        <w:rPr>
          <w:rFonts w:ascii="David" w:hAnsi="David" w:cs="David"/>
          <w:sz w:val="24"/>
          <w:szCs w:val="24"/>
          <w:rtl/>
        </w:rPr>
        <w:t>קום המקורי</w:t>
      </w:r>
      <w:r w:rsidRPr="009A48DA">
        <w:rPr>
          <w:rFonts w:ascii="David" w:hAnsi="David" w:cs="David" w:hint="cs"/>
          <w:sz w:val="24"/>
          <w:szCs w:val="24"/>
          <w:rtl/>
        </w:rPr>
        <w:t xml:space="preserve"> שלהם </w:t>
      </w:r>
      <w:r w:rsidRPr="009A48DA">
        <w:rPr>
          <w:rFonts w:ascii="David" w:hAnsi="David" w:cs="David"/>
          <w:sz w:val="24"/>
          <w:szCs w:val="24"/>
          <w:rtl/>
        </w:rPr>
        <w:t xml:space="preserve"> (למשל, הגרעין העירוני ההיסטורי או שמורת טבע).</w:t>
      </w:r>
    </w:p>
    <w:p w14:paraId="7D88CBBC" w14:textId="77777777" w:rsidR="00C775B5" w:rsidRPr="009A48DA" w:rsidRDefault="00C775B5" w:rsidP="00C775B5">
      <w:pPr>
        <w:numPr>
          <w:ilvl w:val="0"/>
          <w:numId w:val="4"/>
        </w:numPr>
        <w:spacing w:after="10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A48DA">
        <w:rPr>
          <w:rFonts w:ascii="David" w:hAnsi="David" w:cs="David"/>
          <w:sz w:val="24"/>
          <w:szCs w:val="24"/>
          <w:rtl/>
        </w:rPr>
        <w:t xml:space="preserve">תחושת מקום (זהות מקום, תדמית מקום, רוח המקום) </w:t>
      </w:r>
      <w:r w:rsidRPr="009A48DA">
        <w:rPr>
          <w:rFonts w:ascii="David" w:hAnsi="David" w:cs="David"/>
          <w:sz w:val="24"/>
          <w:szCs w:val="24"/>
        </w:rPr>
        <w:t>-</w:t>
      </w:r>
      <w:r w:rsidRPr="009A48DA">
        <w:rPr>
          <w:rFonts w:ascii="David" w:hAnsi="David" w:cs="David"/>
          <w:sz w:val="24"/>
          <w:szCs w:val="24"/>
          <w:rtl/>
        </w:rPr>
        <w:t xml:space="preserve"> המכלול מקנה לתושביו חוסן ו</w:t>
      </w:r>
      <w:r w:rsidRPr="009A48DA">
        <w:rPr>
          <w:rFonts w:ascii="David" w:hAnsi="David" w:cs="David" w:hint="cs"/>
          <w:sz w:val="24"/>
          <w:szCs w:val="24"/>
          <w:rtl/>
        </w:rPr>
        <w:t>הזדהות עם</w:t>
      </w:r>
      <w:r w:rsidRPr="009A48DA">
        <w:rPr>
          <w:rFonts w:ascii="David" w:hAnsi="David" w:cs="David"/>
          <w:sz w:val="24"/>
          <w:szCs w:val="24"/>
          <w:rtl/>
        </w:rPr>
        <w:t xml:space="preserve"> מקום. ולהיפך – המבקרים במכלול מכירים בתרומתו ל</w:t>
      </w:r>
      <w:r w:rsidRPr="009A48DA">
        <w:rPr>
          <w:rFonts w:ascii="David" w:hAnsi="David" w:cs="David" w:hint="cs"/>
          <w:sz w:val="24"/>
          <w:szCs w:val="24"/>
          <w:rtl/>
        </w:rPr>
        <w:t>ערכים ולזהות של ה</w:t>
      </w:r>
      <w:r w:rsidRPr="009A48DA">
        <w:rPr>
          <w:rFonts w:ascii="David" w:hAnsi="David" w:cs="David"/>
          <w:sz w:val="24"/>
          <w:szCs w:val="24"/>
          <w:rtl/>
        </w:rPr>
        <w:t>אוכלוסייה המתגוררת בו.</w:t>
      </w:r>
    </w:p>
    <w:p w14:paraId="03FCE668" w14:textId="238FE546" w:rsidR="00C775B5" w:rsidRPr="009A48DA" w:rsidRDefault="00C775B5" w:rsidP="00C775B5">
      <w:pPr>
        <w:numPr>
          <w:ilvl w:val="0"/>
          <w:numId w:val="4"/>
        </w:numPr>
        <w:spacing w:after="10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A48DA">
        <w:rPr>
          <w:rFonts w:ascii="David" w:hAnsi="David" w:cs="David"/>
          <w:sz w:val="24"/>
          <w:szCs w:val="24"/>
          <w:rtl/>
        </w:rPr>
        <w:t>הקשר</w:t>
      </w:r>
      <w:r w:rsidR="00D555BF">
        <w:rPr>
          <w:rFonts w:ascii="David" w:hAnsi="David" w:cs="David" w:hint="cs"/>
          <w:sz w:val="24"/>
          <w:szCs w:val="24"/>
          <w:rtl/>
        </w:rPr>
        <w:t>/משמעות</w:t>
      </w:r>
      <w:r w:rsidRPr="009A48DA">
        <w:rPr>
          <w:rFonts w:ascii="David" w:hAnsi="David" w:cs="David"/>
          <w:sz w:val="24"/>
          <w:szCs w:val="24"/>
          <w:rtl/>
        </w:rPr>
        <w:t xml:space="preserve"> </w:t>
      </w:r>
      <w:r w:rsidRPr="009A48DA">
        <w:rPr>
          <w:rFonts w:ascii="David" w:hAnsi="David" w:cs="David" w:hint="cs"/>
          <w:sz w:val="24"/>
          <w:szCs w:val="24"/>
          <w:rtl/>
        </w:rPr>
        <w:t>(</w:t>
      </w:r>
      <w:r w:rsidRPr="009A48DA">
        <w:rPr>
          <w:rFonts w:ascii="David" w:hAnsi="David" w:cs="David"/>
          <w:sz w:val="24"/>
          <w:szCs w:val="24"/>
        </w:rPr>
        <w:t>significance</w:t>
      </w:r>
      <w:r w:rsidRPr="009A48DA">
        <w:rPr>
          <w:rFonts w:ascii="David" w:hAnsi="David" w:cs="David" w:hint="cs"/>
          <w:sz w:val="24"/>
          <w:szCs w:val="24"/>
          <w:rtl/>
        </w:rPr>
        <w:t xml:space="preserve">) </w:t>
      </w:r>
      <w:r w:rsidRPr="009A48DA">
        <w:rPr>
          <w:rFonts w:ascii="David" w:hAnsi="David" w:cs="David"/>
          <w:sz w:val="24"/>
          <w:szCs w:val="24"/>
          <w:rtl/>
        </w:rPr>
        <w:t xml:space="preserve">היסטורי </w:t>
      </w:r>
      <w:r w:rsidRPr="009A48DA">
        <w:rPr>
          <w:rFonts w:ascii="David" w:hAnsi="David" w:cs="David"/>
          <w:sz w:val="24"/>
          <w:szCs w:val="24"/>
        </w:rPr>
        <w:t>-</w:t>
      </w:r>
      <w:r w:rsidRPr="009A48DA">
        <w:rPr>
          <w:rFonts w:ascii="David" w:hAnsi="David" w:cs="David"/>
          <w:sz w:val="24"/>
          <w:szCs w:val="24"/>
          <w:rtl/>
        </w:rPr>
        <w:t xml:space="preserve"> הקשר בין דמות או קבוצה היסטורית, אירוע</w:t>
      </w:r>
      <w:r w:rsidR="00D555BF">
        <w:rPr>
          <w:rFonts w:ascii="David" w:hAnsi="David" w:cs="David" w:hint="cs"/>
          <w:sz w:val="24"/>
          <w:szCs w:val="24"/>
          <w:rtl/>
        </w:rPr>
        <w:t xml:space="preserve">, </w:t>
      </w:r>
      <w:r w:rsidRPr="009A48DA">
        <w:rPr>
          <w:rFonts w:ascii="David" w:hAnsi="David" w:cs="David"/>
          <w:sz w:val="24"/>
          <w:szCs w:val="24"/>
          <w:rtl/>
        </w:rPr>
        <w:t xml:space="preserve">אידאולוגיה ותפיסות עבר לבין המכלול תורם </w:t>
      </w:r>
      <w:r w:rsidRPr="009A48DA">
        <w:rPr>
          <w:rFonts w:ascii="David" w:hAnsi="David" w:cs="David" w:hint="cs"/>
          <w:sz w:val="24"/>
          <w:szCs w:val="24"/>
          <w:rtl/>
        </w:rPr>
        <w:t xml:space="preserve">לאפיון המכלול </w:t>
      </w:r>
      <w:r w:rsidRPr="009A48DA">
        <w:rPr>
          <w:rFonts w:ascii="David" w:hAnsi="David" w:cs="David"/>
          <w:sz w:val="24"/>
          <w:szCs w:val="24"/>
          <w:rtl/>
        </w:rPr>
        <w:t>בתודעה הציבורית.</w:t>
      </w:r>
    </w:p>
    <w:p w14:paraId="181FE80B" w14:textId="6E72974D" w:rsidR="00C775B5" w:rsidRPr="009A48DA" w:rsidRDefault="00C775B5" w:rsidP="00C775B5">
      <w:pPr>
        <w:numPr>
          <w:ilvl w:val="0"/>
          <w:numId w:val="4"/>
        </w:numPr>
        <w:spacing w:after="10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9A48DA">
        <w:rPr>
          <w:rFonts w:ascii="David" w:hAnsi="David" w:cs="David"/>
          <w:sz w:val="24"/>
          <w:szCs w:val="24"/>
          <w:rtl/>
        </w:rPr>
        <w:t>הקשר אקולוגי</w:t>
      </w:r>
      <w:r w:rsidR="00D555BF">
        <w:rPr>
          <w:rFonts w:ascii="David" w:hAnsi="David" w:cs="David" w:hint="cs"/>
          <w:sz w:val="24"/>
          <w:szCs w:val="24"/>
          <w:rtl/>
        </w:rPr>
        <w:t>/משמעות מקיימת (</w:t>
      </w:r>
      <w:r w:rsidR="00D555BF">
        <w:rPr>
          <w:rFonts w:asciiTheme="majorBidi" w:hAnsiTheme="majorBidi" w:cstheme="majorBidi"/>
          <w:sz w:val="24"/>
          <w:szCs w:val="24"/>
        </w:rPr>
        <w:t>sustainability</w:t>
      </w:r>
      <w:r w:rsidR="00D555BF">
        <w:rPr>
          <w:rFonts w:asciiTheme="majorBidi" w:hAnsiTheme="majorBidi" w:cstheme="majorBidi" w:hint="cs"/>
          <w:sz w:val="24"/>
          <w:szCs w:val="24"/>
          <w:rtl/>
        </w:rPr>
        <w:t>)</w:t>
      </w:r>
      <w:r w:rsidRPr="009A48DA">
        <w:rPr>
          <w:rFonts w:ascii="David" w:hAnsi="David" w:cs="David"/>
          <w:sz w:val="24"/>
          <w:szCs w:val="24"/>
          <w:rtl/>
        </w:rPr>
        <w:t xml:space="preserve"> </w:t>
      </w:r>
      <w:r w:rsidRPr="009A48DA">
        <w:rPr>
          <w:rFonts w:ascii="David" w:hAnsi="David" w:cs="David"/>
          <w:sz w:val="24"/>
          <w:szCs w:val="24"/>
        </w:rPr>
        <w:t>-</w:t>
      </w:r>
      <w:r w:rsidRPr="009A48DA">
        <w:rPr>
          <w:rFonts w:ascii="David" w:hAnsi="David" w:cs="David"/>
          <w:sz w:val="24"/>
          <w:szCs w:val="24"/>
          <w:rtl/>
        </w:rPr>
        <w:t xml:space="preserve"> במכלול הנופי מזוהים קשרים אקולוגיים התפתחותיים (היסטוריים) בין המרכיבים שתורמים להדגשת ייחודו עבור </w:t>
      </w:r>
      <w:r w:rsidRPr="009A48DA">
        <w:rPr>
          <w:rFonts w:ascii="David" w:hAnsi="David" w:cs="David" w:hint="cs"/>
          <w:sz w:val="24"/>
          <w:szCs w:val="24"/>
          <w:rtl/>
        </w:rPr>
        <w:t>ה</w:t>
      </w:r>
      <w:r w:rsidRPr="009A48DA">
        <w:rPr>
          <w:rFonts w:ascii="David" w:hAnsi="David" w:cs="David"/>
          <w:sz w:val="24"/>
          <w:szCs w:val="24"/>
          <w:rtl/>
        </w:rPr>
        <w:t xml:space="preserve">ציבור </w:t>
      </w:r>
      <w:r w:rsidRPr="009A48DA">
        <w:rPr>
          <w:rFonts w:ascii="David" w:hAnsi="David" w:cs="David" w:hint="cs"/>
          <w:sz w:val="24"/>
          <w:szCs w:val="24"/>
          <w:rtl/>
        </w:rPr>
        <w:t>ה</w:t>
      </w:r>
      <w:r w:rsidRPr="009A48DA">
        <w:rPr>
          <w:rFonts w:ascii="David" w:hAnsi="David" w:cs="David"/>
          <w:sz w:val="24"/>
          <w:szCs w:val="24"/>
          <w:rtl/>
        </w:rPr>
        <w:t>רחב.</w:t>
      </w:r>
    </w:p>
    <w:p w14:paraId="1B15B3AF" w14:textId="77777777" w:rsidR="00C775B5" w:rsidRDefault="00C775B5" w:rsidP="00C775B5">
      <w:pPr>
        <w:numPr>
          <w:ilvl w:val="0"/>
          <w:numId w:val="4"/>
        </w:numPr>
        <w:spacing w:after="100" w:line="360" w:lineRule="auto"/>
        <w:jc w:val="both"/>
        <w:rPr>
          <w:rFonts w:ascii="David" w:hAnsi="David" w:cs="David"/>
          <w:sz w:val="24"/>
          <w:szCs w:val="24"/>
        </w:rPr>
      </w:pPr>
      <w:r w:rsidRPr="009A48DA">
        <w:rPr>
          <w:rFonts w:ascii="David" w:hAnsi="David" w:cs="David"/>
          <w:sz w:val="24"/>
          <w:szCs w:val="24"/>
          <w:rtl/>
        </w:rPr>
        <w:t>מתאר</w:t>
      </w:r>
      <w:r w:rsidRPr="009A48DA">
        <w:rPr>
          <w:rFonts w:ascii="David" w:hAnsi="David" w:cs="David"/>
          <w:sz w:val="24"/>
          <w:szCs w:val="24"/>
        </w:rPr>
        <w:t xml:space="preserve"> - </w:t>
      </w:r>
      <w:r w:rsidRPr="009A48DA">
        <w:rPr>
          <w:rFonts w:ascii="David" w:hAnsi="David" w:cs="David"/>
          <w:sz w:val="24"/>
          <w:szCs w:val="24"/>
          <w:rtl/>
        </w:rPr>
        <w:t>(</w:t>
      </w:r>
      <w:r w:rsidRPr="009A48DA">
        <w:rPr>
          <w:rFonts w:ascii="David" w:hAnsi="David" w:cs="David"/>
          <w:sz w:val="24"/>
          <w:szCs w:val="24"/>
        </w:rPr>
        <w:t>setting</w:t>
      </w:r>
      <w:r w:rsidRPr="009A48DA">
        <w:rPr>
          <w:rFonts w:ascii="David" w:hAnsi="David" w:cs="David"/>
          <w:sz w:val="24"/>
          <w:szCs w:val="24"/>
          <w:rtl/>
        </w:rPr>
        <w:t>)</w:t>
      </w:r>
      <w:r w:rsidRPr="009A48DA">
        <w:rPr>
          <w:rFonts w:ascii="David" w:hAnsi="David" w:cs="David"/>
          <w:sz w:val="24"/>
          <w:szCs w:val="24"/>
        </w:rPr>
        <w:t xml:space="preserve"> </w:t>
      </w:r>
      <w:r w:rsidRPr="009A48DA">
        <w:rPr>
          <w:rFonts w:ascii="David" w:hAnsi="David" w:cs="David"/>
          <w:sz w:val="24"/>
          <w:szCs w:val="24"/>
          <w:rtl/>
        </w:rPr>
        <w:t xml:space="preserve">המכלול מתוחם על ידי גבולות היסטוריים או כתוצאה מהתפתחות </w:t>
      </w:r>
      <w:r w:rsidRPr="009A48DA">
        <w:rPr>
          <w:rFonts w:ascii="David" w:hAnsi="David" w:cs="David" w:hint="cs"/>
          <w:sz w:val="24"/>
          <w:szCs w:val="24"/>
          <w:rtl/>
        </w:rPr>
        <w:t>טבעית או התיישבותית (</w:t>
      </w:r>
      <w:r w:rsidRPr="009A48DA">
        <w:rPr>
          <w:rFonts w:ascii="David" w:hAnsi="David" w:cs="David"/>
          <w:sz w:val="24"/>
          <w:szCs w:val="24"/>
          <w:rtl/>
        </w:rPr>
        <w:t>אורגנית,</w:t>
      </w:r>
      <w:r w:rsidRPr="009A48DA">
        <w:rPr>
          <w:rFonts w:ascii="David" w:hAnsi="David" w:cs="David" w:hint="cs"/>
          <w:sz w:val="24"/>
          <w:szCs w:val="24"/>
          <w:rtl/>
        </w:rPr>
        <w:t xml:space="preserve"> </w:t>
      </w:r>
      <w:r w:rsidRPr="009A48DA">
        <w:rPr>
          <w:rFonts w:ascii="David" w:hAnsi="David" w:cs="David"/>
          <w:sz w:val="24"/>
          <w:szCs w:val="24"/>
        </w:rPr>
        <w:t>organic development</w:t>
      </w:r>
      <w:r w:rsidRPr="009A48DA">
        <w:rPr>
          <w:rFonts w:ascii="David" w:hAnsi="David" w:cs="David" w:hint="cs"/>
          <w:sz w:val="24"/>
          <w:szCs w:val="24"/>
          <w:rtl/>
        </w:rPr>
        <w:t>)</w:t>
      </w:r>
      <w:r w:rsidRPr="009A48DA">
        <w:rPr>
          <w:rFonts w:ascii="David" w:hAnsi="David" w:cs="David"/>
          <w:sz w:val="24"/>
          <w:szCs w:val="24"/>
          <w:rtl/>
        </w:rPr>
        <w:t xml:space="preserve"> שמקנים למרחב את </w:t>
      </w:r>
      <w:r w:rsidRPr="009A48DA">
        <w:rPr>
          <w:rFonts w:ascii="David" w:hAnsi="David" w:cs="David" w:hint="cs"/>
          <w:sz w:val="24"/>
          <w:szCs w:val="24"/>
          <w:rtl/>
        </w:rPr>
        <w:t>ייחודו</w:t>
      </w:r>
      <w:r w:rsidRPr="009A48DA">
        <w:rPr>
          <w:rFonts w:ascii="David" w:hAnsi="David" w:cs="David"/>
          <w:sz w:val="24"/>
          <w:szCs w:val="24"/>
          <w:rtl/>
        </w:rPr>
        <w:t>.</w:t>
      </w:r>
    </w:p>
    <w:p w14:paraId="5D570C94" w14:textId="61E6B57D" w:rsidR="00947BE3" w:rsidRDefault="00947BE3" w:rsidP="00482AED">
      <w:pPr>
        <w:spacing w:after="0" w:line="36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קריטריונים של תפקיד הנכס והנוף ואפשרויות </w:t>
      </w:r>
      <w:proofErr w:type="spellStart"/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השמשתו</w:t>
      </w:r>
      <w:proofErr w:type="spellEnd"/>
    </w:p>
    <w:p w14:paraId="7CBD55A5" w14:textId="17234880" w:rsidR="00947BE3" w:rsidRPr="00947BE3" w:rsidRDefault="00947BE3" w:rsidP="00947BE3">
      <w:pPr>
        <w:pStyle w:val="Style2"/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/>
          <w:sz w:val="24"/>
          <w:szCs w:val="24"/>
          <w:rtl/>
          <w:lang w:val="he-IL" w:bidi="he-IL"/>
        </w:rPr>
      </w:pPr>
      <w:r w:rsidRPr="00947BE3">
        <w:rPr>
          <w:rStyle w:val="CharStyle4"/>
          <w:rFonts w:ascii="David" w:hAnsi="David" w:cs="David"/>
          <w:b/>
          <w:bCs/>
          <w:sz w:val="24"/>
          <w:szCs w:val="24"/>
          <w:rtl/>
          <w:lang w:val="he-IL" w:bidi="he-IL"/>
        </w:rPr>
        <w:t>תפקיד הנכס, האתר, הנוף</w:t>
      </w:r>
      <w:r w:rsidRPr="00934443">
        <w:rPr>
          <w:rStyle w:val="CharStyle4"/>
          <w:rFonts w:ascii="David" w:hAnsi="David" w:cs="David" w:hint="cs"/>
          <w:b/>
          <w:bCs/>
          <w:sz w:val="24"/>
          <w:szCs w:val="24"/>
          <w:rtl/>
          <w:lang w:val="he-IL" w:bidi="he-IL"/>
        </w:rPr>
        <w:t xml:space="preserve"> נמדד לאור תבחינים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כמו: </w:t>
      </w:r>
      <w:r w:rsidRPr="00947BE3">
        <w:rPr>
          <w:rStyle w:val="CharStyle4"/>
          <w:rFonts w:ascii="David" w:hAnsi="David" w:cs="David"/>
          <w:sz w:val="24"/>
          <w:szCs w:val="24"/>
          <w:rtl/>
          <w:lang w:val="he-IL" w:bidi="he-IL"/>
        </w:rPr>
        <w:t>לשקף ערכים; להעביר מסרים (אינטרסים); למנף פיתוח; לייחד קהילות וליצור גאווה מקומית (רוח המקום/קשר למקום); לייצר חוויה ועניין; לייצג כוח....</w:t>
      </w:r>
    </w:p>
    <w:p w14:paraId="784E4676" w14:textId="5E6B75F1" w:rsidR="00947BE3" w:rsidRPr="00947BE3" w:rsidRDefault="00947BE3" w:rsidP="00947BE3">
      <w:pPr>
        <w:pStyle w:val="Style2"/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/>
          <w:sz w:val="24"/>
          <w:szCs w:val="24"/>
          <w:rtl/>
          <w:lang w:val="he-IL" w:bidi="he-IL"/>
        </w:rPr>
      </w:pPr>
      <w:r w:rsidRPr="00934443">
        <w:rPr>
          <w:rStyle w:val="CharStyle4"/>
          <w:rFonts w:ascii="David" w:hAnsi="David" w:cs="David" w:hint="cs"/>
          <w:b/>
          <w:bCs/>
          <w:sz w:val="24"/>
          <w:szCs w:val="24"/>
          <w:rtl/>
          <w:lang w:val="he-IL" w:bidi="he-IL"/>
        </w:rPr>
        <w:t>לאור אפשרויות השמשה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: </w:t>
      </w:r>
      <w:r w:rsidRPr="00947BE3">
        <w:rPr>
          <w:rStyle w:val="CharStyle4"/>
          <w:rFonts w:ascii="David" w:hAnsi="David" w:cs="David"/>
          <w:sz w:val="24"/>
          <w:szCs w:val="24"/>
          <w:rtl/>
          <w:lang w:val="he-IL" w:bidi="he-IL"/>
        </w:rPr>
        <w:t>המשכיות התפקוד הישן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; </w:t>
      </w:r>
      <w:r w:rsidRPr="00947BE3">
        <w:rPr>
          <w:rStyle w:val="CharStyle4"/>
          <w:rFonts w:ascii="David" w:hAnsi="David" w:cs="David"/>
          <w:sz w:val="24"/>
          <w:szCs w:val="24"/>
          <w:rtl/>
          <w:lang w:val="he-IL" w:bidi="he-IL"/>
        </w:rPr>
        <w:t>תפקוד חדש והתאמת הנכס לתפקוד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; </w:t>
      </w:r>
      <w:r w:rsidRPr="00947BE3">
        <w:rPr>
          <w:rStyle w:val="CharStyle4"/>
          <w:rFonts w:ascii="David" w:hAnsi="David" w:cs="David"/>
          <w:sz w:val="24"/>
          <w:szCs w:val="24"/>
          <w:rtl/>
          <w:lang w:val="he-IL" w:bidi="he-IL"/>
        </w:rPr>
        <w:t>תפקוד ישיר ותפקוד עקיף</w:t>
      </w:r>
      <w:r>
        <w:rPr>
          <w:rStyle w:val="CharStyle4"/>
          <w:rFonts w:ascii="David" w:hAnsi="David" w:cs="David" w:hint="cs"/>
          <w:sz w:val="24"/>
          <w:szCs w:val="24"/>
          <w:rtl/>
          <w:lang w:val="he-IL" w:bidi="he-IL"/>
        </w:rPr>
        <w:t xml:space="preserve"> (פיתוח בסביבת הנכס המוכרז לשימור); </w:t>
      </w:r>
      <w:r w:rsidRPr="00947BE3">
        <w:rPr>
          <w:rStyle w:val="CharStyle4"/>
          <w:rFonts w:ascii="David" w:hAnsi="David" w:cs="David"/>
          <w:sz w:val="24"/>
          <w:szCs w:val="24"/>
          <w:rtl/>
          <w:lang w:val="he-IL" w:bidi="he-IL"/>
        </w:rPr>
        <w:t>תפקוד כלכלי נושא רווחים/לא נושא רווחים; חברתי....</w:t>
      </w:r>
    </w:p>
    <w:p w14:paraId="768D7FBC" w14:textId="4B1A3955" w:rsidR="00947BE3" w:rsidRDefault="00934443" w:rsidP="00482AED">
      <w:pPr>
        <w:spacing w:after="0" w:line="36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ה</w:t>
      </w:r>
      <w:r w:rsidR="00F847FD" w:rsidRPr="00F847FD">
        <w:rPr>
          <w:rFonts w:ascii="David" w:hAnsi="David" w:cs="David" w:hint="cs"/>
          <w:b/>
          <w:bCs/>
          <w:sz w:val="24"/>
          <w:szCs w:val="24"/>
          <w:u w:val="single"/>
          <w:rtl/>
        </w:rPr>
        <w:t>אמנות ש</w:t>
      </w:r>
      <w:r w:rsidR="00947BE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תרמו לתמורות בערכי המורשת התרבותית </w:t>
      </w:r>
    </w:p>
    <w:p w14:paraId="5FF1F06B" w14:textId="77777777" w:rsidR="00947BE3" w:rsidRDefault="00947BE3" w:rsidP="00482AED">
      <w:pPr>
        <w:spacing w:after="0" w:line="360" w:lineRule="auto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2CBD60E" w14:textId="42457B93" w:rsidR="00C775B5" w:rsidRDefault="00482AED" w:rsidP="00482AED">
      <w:pPr>
        <w:spacing w:after="0" w:line="360" w:lineRule="auto"/>
        <w:contextualSpacing/>
        <w:jc w:val="both"/>
        <w:rPr>
          <w:rStyle w:val="CharStyle4"/>
          <w:rFonts w:ascii="David" w:hAnsi="David" w:cs="David"/>
          <w:sz w:val="24"/>
          <w:szCs w:val="24"/>
          <w:rtl/>
          <w:lang w:bidi="he-IL"/>
        </w:rPr>
      </w:pPr>
      <w:r w:rsidRPr="00F847FD">
        <w:rPr>
          <w:rFonts w:ascii="David" w:hAnsi="David" w:cs="David" w:hint="cs"/>
          <w:b/>
          <w:bCs/>
          <w:sz w:val="24"/>
          <w:szCs w:val="24"/>
          <w:rtl/>
        </w:rPr>
        <w:t>אמנת בורה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>
        <w:rPr>
          <w:rFonts w:ascii="David" w:hAnsi="David" w:cs="David" w:hint="cs"/>
          <w:sz w:val="24"/>
          <w:szCs w:val="24"/>
          <w:rtl/>
        </w:rPr>
        <w:t>איקומוס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אוסטרליה, 1979 ועד 1999) - האמנה  מקנה כלים לשימור ולניהול </w:t>
      </w:r>
      <w:r w:rsidRPr="00482AED">
        <w:rPr>
          <w:rFonts w:ascii="David" w:hAnsi="David" w:cs="David" w:hint="cs"/>
          <w:sz w:val="24"/>
          <w:szCs w:val="24"/>
          <w:rtl/>
        </w:rPr>
        <w:t>מקומות</w:t>
      </w:r>
      <w:r w:rsidRPr="00482AED">
        <w:rPr>
          <w:rFonts w:ascii="David" w:hAnsi="David" w:cs="David"/>
          <w:sz w:val="24"/>
          <w:szCs w:val="24"/>
          <w:rtl/>
        </w:rPr>
        <w:t xml:space="preserve"> </w:t>
      </w:r>
      <w:r w:rsidRPr="00482AED">
        <w:rPr>
          <w:rFonts w:ascii="David" w:hAnsi="David" w:cs="David" w:hint="cs"/>
          <w:sz w:val="24"/>
          <w:szCs w:val="24"/>
          <w:rtl/>
        </w:rPr>
        <w:t>בעלי</w:t>
      </w:r>
      <w:r w:rsidRPr="00482AED">
        <w:rPr>
          <w:rFonts w:ascii="David" w:hAnsi="David" w:cs="David"/>
          <w:sz w:val="24"/>
          <w:szCs w:val="24"/>
          <w:rtl/>
        </w:rPr>
        <w:t xml:space="preserve"> </w:t>
      </w:r>
      <w:r w:rsidRPr="00482AED">
        <w:rPr>
          <w:rFonts w:ascii="David" w:hAnsi="David" w:cs="David" w:hint="cs"/>
          <w:sz w:val="24"/>
          <w:szCs w:val="24"/>
          <w:rtl/>
        </w:rPr>
        <w:t>משמעות</w:t>
      </w:r>
      <w:r w:rsidRPr="00482AED">
        <w:rPr>
          <w:rFonts w:ascii="David" w:hAnsi="David" w:cs="David"/>
          <w:sz w:val="24"/>
          <w:szCs w:val="24"/>
          <w:rtl/>
        </w:rPr>
        <w:t xml:space="preserve"> </w:t>
      </w:r>
      <w:r w:rsidRPr="00482AED">
        <w:rPr>
          <w:rFonts w:ascii="David" w:hAnsi="David" w:cs="David" w:hint="cs"/>
          <w:sz w:val="24"/>
          <w:szCs w:val="24"/>
          <w:rtl/>
        </w:rPr>
        <w:t>וחשיבות</w:t>
      </w:r>
      <w:r w:rsidRPr="00482AED">
        <w:rPr>
          <w:rFonts w:ascii="David" w:hAnsi="David" w:cs="David"/>
          <w:sz w:val="24"/>
          <w:szCs w:val="24"/>
          <w:rtl/>
        </w:rPr>
        <w:t xml:space="preserve"> </w:t>
      </w:r>
      <w:r w:rsidRPr="00482AED">
        <w:rPr>
          <w:rFonts w:ascii="David" w:hAnsi="David" w:cs="David" w:hint="cs"/>
          <w:sz w:val="24"/>
          <w:szCs w:val="24"/>
          <w:rtl/>
        </w:rPr>
        <w:t>תרבותית</w:t>
      </w:r>
      <w:r w:rsidR="00934443">
        <w:rPr>
          <w:rFonts w:ascii="David" w:hAnsi="David" w:cs="David" w:hint="cs"/>
          <w:sz w:val="24"/>
          <w:szCs w:val="24"/>
          <w:rtl/>
        </w:rPr>
        <w:t>. על פי האמנה:</w:t>
      </w:r>
      <w:r w:rsidRPr="00482AED">
        <w:rPr>
          <w:rFonts w:ascii="David" w:hAnsi="David" w:cs="David"/>
          <w:sz w:val="24"/>
          <w:szCs w:val="24"/>
          <w:rtl/>
        </w:rPr>
        <w:t xml:space="preserve"> </w:t>
      </w:r>
    </w:p>
    <w:p w14:paraId="439DE709" w14:textId="0FBB1EB6" w:rsidR="00934443" w:rsidRPr="00934443" w:rsidRDefault="00934443" w:rsidP="00934443">
      <w:pPr>
        <w:pStyle w:val="Style2"/>
        <w:numPr>
          <w:ilvl w:val="0"/>
          <w:numId w:val="5"/>
        </w:numPr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/>
          <w:smallCaps w:val="0"/>
          <w:sz w:val="24"/>
          <w:szCs w:val="24"/>
          <w:lang w:val="he-IL" w:bidi="he-IL"/>
        </w:rPr>
      </w:pPr>
      <w:r w:rsidRPr="00934443">
        <w:rPr>
          <w:rStyle w:val="CharStyle4"/>
          <w:rFonts w:ascii="David" w:hAnsi="David" w:cs="David" w:hint="cs"/>
          <w:smallCaps w:val="0"/>
          <w:sz w:val="24"/>
          <w:szCs w:val="24"/>
          <w:rtl/>
          <w:lang w:val="he-IL" w:bidi="he-IL"/>
        </w:rPr>
        <w:t xml:space="preserve">יש לנסח </w:t>
      </w:r>
      <w:r w:rsidRPr="00934443">
        <w:rPr>
          <w:rStyle w:val="CharStyle4"/>
          <w:rFonts w:ascii="David" w:hAnsi="David" w:cs="David"/>
          <w:smallCaps w:val="0"/>
          <w:sz w:val="24"/>
          <w:szCs w:val="24"/>
          <w:rtl/>
          <w:lang w:val="he-IL" w:bidi="he-IL"/>
        </w:rPr>
        <w:t xml:space="preserve">'הצהרת משמעות תרבותית' </w:t>
      </w:r>
      <w:r w:rsidRPr="00934443">
        <w:rPr>
          <w:rStyle w:val="CharStyle4"/>
          <w:rFonts w:ascii="David" w:hAnsi="David" w:cs="David" w:hint="cs"/>
          <w:smallCaps w:val="0"/>
          <w:sz w:val="24"/>
          <w:szCs w:val="24"/>
          <w:rtl/>
          <w:lang w:val="he-IL" w:bidi="he-IL"/>
        </w:rPr>
        <w:t xml:space="preserve">לכל נכס, אתר או הנוף הראויים לשימור. ההצהרה תתבסס על </w:t>
      </w:r>
      <w:r w:rsidRPr="00934443">
        <w:rPr>
          <w:rStyle w:val="CharStyle4"/>
          <w:rFonts w:ascii="David" w:hAnsi="David" w:cs="David"/>
          <w:smallCaps w:val="0"/>
          <w:sz w:val="24"/>
          <w:szCs w:val="24"/>
          <w:rtl/>
          <w:lang w:val="he-IL" w:bidi="he-IL"/>
        </w:rPr>
        <w:t xml:space="preserve">ערכי האתר המשמשים קריטריונים להערכה. </w:t>
      </w:r>
      <w:r w:rsidRPr="00934443">
        <w:rPr>
          <w:rStyle w:val="CharStyle4"/>
          <w:rFonts w:ascii="David" w:hAnsi="David" w:cs="David" w:hint="cs"/>
          <w:smallCaps w:val="0"/>
          <w:sz w:val="24"/>
          <w:szCs w:val="24"/>
          <w:rtl/>
          <w:lang w:val="he-IL" w:bidi="he-IL"/>
        </w:rPr>
        <w:t xml:space="preserve">ההצהרה תהייה בסיס </w:t>
      </w:r>
      <w:r w:rsidRPr="00934443">
        <w:rPr>
          <w:rStyle w:val="CharStyle4"/>
          <w:rFonts w:ascii="David" w:hAnsi="David" w:cs="David"/>
          <w:smallCaps w:val="0"/>
          <w:sz w:val="24"/>
          <w:szCs w:val="24"/>
          <w:rtl/>
          <w:lang w:val="he-IL" w:bidi="he-IL"/>
        </w:rPr>
        <w:t>לתכנון האתר</w:t>
      </w:r>
      <w:r w:rsidRPr="00934443">
        <w:rPr>
          <w:rStyle w:val="CharStyle4"/>
          <w:rFonts w:ascii="David" w:hAnsi="David" w:cs="David" w:hint="cs"/>
          <w:smallCaps w:val="0"/>
          <w:sz w:val="24"/>
          <w:szCs w:val="24"/>
          <w:rtl/>
          <w:lang w:val="he-IL" w:bidi="he-IL"/>
        </w:rPr>
        <w:t>.</w:t>
      </w:r>
    </w:p>
    <w:p w14:paraId="483CA110" w14:textId="77777777" w:rsidR="00934443" w:rsidRPr="00934443" w:rsidRDefault="00934443" w:rsidP="00934443">
      <w:pPr>
        <w:pStyle w:val="Style2"/>
        <w:numPr>
          <w:ilvl w:val="0"/>
          <w:numId w:val="5"/>
        </w:numPr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/>
          <w:smallCaps w:val="0"/>
          <w:sz w:val="24"/>
          <w:szCs w:val="24"/>
          <w:lang w:val="he-IL" w:bidi="he-IL"/>
        </w:rPr>
      </w:pPr>
      <w:r w:rsidRPr="00934443">
        <w:rPr>
          <w:rStyle w:val="CharStyle4"/>
          <w:rFonts w:ascii="David" w:hAnsi="David" w:cs="David"/>
          <w:smallCaps w:val="0"/>
          <w:sz w:val="24"/>
          <w:szCs w:val="24"/>
          <w:rtl/>
          <w:lang w:val="he-IL" w:bidi="he-IL"/>
        </w:rPr>
        <w:t>בחינה של הערך - האסתטי, ההיסטורי, המדעי, החברתי או הרוחני של דורות העבר, עבור דור ההווה ולמען דורות בעתיד.</w:t>
      </w:r>
    </w:p>
    <w:p w14:paraId="1BB513D9" w14:textId="4E24D175" w:rsidR="00934443" w:rsidRPr="00934443" w:rsidRDefault="00934443" w:rsidP="00934443">
      <w:pPr>
        <w:pStyle w:val="Style2"/>
        <w:numPr>
          <w:ilvl w:val="0"/>
          <w:numId w:val="5"/>
        </w:numPr>
        <w:shd w:val="clear" w:color="auto" w:fill="auto"/>
        <w:bidi/>
        <w:spacing w:after="0" w:line="360" w:lineRule="auto"/>
        <w:contextualSpacing/>
        <w:jc w:val="both"/>
        <w:rPr>
          <w:rStyle w:val="CharStyle4"/>
          <w:rFonts w:ascii="David" w:hAnsi="David" w:cs="David"/>
          <w:smallCaps w:val="0"/>
          <w:sz w:val="24"/>
          <w:szCs w:val="24"/>
          <w:rtl/>
          <w:lang w:val="he-IL" w:bidi="he-IL"/>
        </w:rPr>
      </w:pPr>
      <w:r w:rsidRPr="00934443">
        <w:rPr>
          <w:rStyle w:val="CharStyle4"/>
          <w:rFonts w:ascii="David" w:hAnsi="David" w:cs="David"/>
          <w:smallCaps w:val="0"/>
          <w:sz w:val="24"/>
          <w:szCs w:val="24"/>
          <w:rtl/>
          <w:lang w:val="he-IL" w:bidi="he-IL"/>
        </w:rPr>
        <w:t>משמעות תרבותית מגולמת במקום עצמו, בנכס, בסביבה, בשימוש, בהקשרים, במשמעויות, בעדויות, בקשר בינו למקומות ולפריטים אחרים, ביחסים בין הנכס לאוכלוסייה.</w:t>
      </w:r>
      <w:r w:rsidRPr="00934443">
        <w:rPr>
          <w:rStyle w:val="CharStyle4"/>
          <w:rFonts w:ascii="David" w:hAnsi="David" w:cs="David"/>
          <w:smallCaps w:val="0"/>
          <w:sz w:val="24"/>
          <w:szCs w:val="24"/>
          <w:rtl/>
          <w:lang w:val="he-IL" w:bidi="he-IL"/>
        </w:rPr>
        <w:br/>
        <w:t>ייתכן שמקום או נכס מסוים יגלם בתוכו מגוון של ערכים עבור פרטים או קבוצות שונות (הנכס יכול לייצר מחלוקות וגם שיתופי פעולה כדי להגיע להסכמה רחבה</w:t>
      </w:r>
      <w:r w:rsidRPr="00934443">
        <w:rPr>
          <w:rStyle w:val="CharStyle4"/>
          <w:rFonts w:ascii="David" w:hAnsi="David" w:cs="David" w:hint="cs"/>
          <w:smallCaps w:val="0"/>
          <w:sz w:val="24"/>
          <w:szCs w:val="24"/>
          <w:rtl/>
          <w:lang w:val="he-IL" w:bidi="he-IL"/>
        </w:rPr>
        <w:t>)</w:t>
      </w:r>
      <w:r w:rsidRPr="00934443">
        <w:rPr>
          <w:rStyle w:val="CharStyle4"/>
          <w:rFonts w:ascii="David" w:hAnsi="David" w:cs="David"/>
          <w:smallCaps w:val="0"/>
          <w:sz w:val="24"/>
          <w:szCs w:val="24"/>
          <w:rtl/>
          <w:lang w:val="he-IL" w:bidi="he-IL"/>
        </w:rPr>
        <w:t>.</w:t>
      </w:r>
    </w:p>
    <w:p w14:paraId="416C0EB3" w14:textId="77777777" w:rsidR="00934443" w:rsidRDefault="00934443" w:rsidP="00482AED">
      <w:pPr>
        <w:spacing w:after="0" w:line="360" w:lineRule="auto"/>
        <w:contextualSpacing/>
        <w:jc w:val="both"/>
        <w:rPr>
          <w:rStyle w:val="CharStyle4"/>
          <w:rFonts w:ascii="David" w:hAnsi="David" w:cs="David"/>
          <w:sz w:val="24"/>
          <w:szCs w:val="24"/>
          <w:rtl/>
          <w:lang w:bidi="he-IL"/>
        </w:rPr>
      </w:pPr>
    </w:p>
    <w:p w14:paraId="56B68850" w14:textId="227EC005" w:rsidR="00F847FD" w:rsidRDefault="00F847FD" w:rsidP="00482AED">
      <w:pPr>
        <w:spacing w:after="0" w:line="360" w:lineRule="auto"/>
        <w:contextualSpacing/>
        <w:jc w:val="both"/>
        <w:rPr>
          <w:rStyle w:val="CharStyle4"/>
          <w:rFonts w:ascii="David" w:hAnsi="David" w:cs="David"/>
          <w:sz w:val="24"/>
          <w:szCs w:val="24"/>
          <w:rtl/>
          <w:lang w:bidi="he-IL"/>
        </w:rPr>
      </w:pPr>
      <w:r w:rsidRPr="00F847FD">
        <w:rPr>
          <w:rStyle w:val="CharStyle4"/>
          <w:rFonts w:ascii="David" w:hAnsi="David" w:cs="David" w:hint="cs"/>
          <w:b/>
          <w:bCs/>
          <w:sz w:val="24"/>
          <w:szCs w:val="24"/>
          <w:rtl/>
          <w:lang w:bidi="he-IL"/>
        </w:rPr>
        <w:t xml:space="preserve">אמנת </w:t>
      </w:r>
      <w:proofErr w:type="spellStart"/>
      <w:r w:rsidRPr="00F847FD">
        <w:rPr>
          <w:rStyle w:val="CharStyle4"/>
          <w:rFonts w:ascii="David" w:hAnsi="David" w:cs="David" w:hint="cs"/>
          <w:b/>
          <w:bCs/>
          <w:sz w:val="24"/>
          <w:szCs w:val="24"/>
          <w:rtl/>
          <w:lang w:bidi="he-IL"/>
        </w:rPr>
        <w:t>נארה</w:t>
      </w:r>
      <w:proofErr w:type="spellEnd"/>
      <w:r>
        <w:rPr>
          <w:rStyle w:val="CharStyle4"/>
          <w:rFonts w:ascii="David" w:hAnsi="David" w:cs="David" w:hint="cs"/>
          <w:sz w:val="24"/>
          <w:szCs w:val="24"/>
          <w:rtl/>
          <w:lang w:bidi="he-IL"/>
        </w:rPr>
        <w:t>, 1994, 1999</w:t>
      </w:r>
      <w:r w:rsidR="00934443">
        <w:rPr>
          <w:rStyle w:val="CharStyle4"/>
          <w:rFonts w:ascii="David" w:hAnsi="David" w:cs="David" w:hint="cs"/>
          <w:sz w:val="24"/>
          <w:szCs w:val="24"/>
          <w:rtl/>
          <w:lang w:bidi="he-IL"/>
        </w:rPr>
        <w:t>, ו</w:t>
      </w:r>
      <w:r>
        <w:rPr>
          <w:rStyle w:val="CharStyle4"/>
          <w:rFonts w:ascii="David" w:hAnsi="David" w:cs="David" w:hint="cs"/>
          <w:sz w:val="24"/>
          <w:szCs w:val="24"/>
          <w:rtl/>
          <w:lang w:bidi="he-IL"/>
        </w:rPr>
        <w:t>הדגשת האותנטיות והשלמות.</w:t>
      </w:r>
    </w:p>
    <w:p w14:paraId="2DEE8984" w14:textId="77777777" w:rsidR="00934443" w:rsidRDefault="00934443" w:rsidP="00934443">
      <w:pPr>
        <w:tabs>
          <w:tab w:val="num" w:pos="720"/>
        </w:tabs>
        <w:spacing w:after="0"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 w:rsidRPr="00934443">
        <w:rPr>
          <w:rFonts w:ascii="David" w:hAnsi="David" w:cs="David"/>
          <w:sz w:val="24"/>
          <w:szCs w:val="24"/>
          <w:rtl/>
        </w:rPr>
        <w:t xml:space="preserve">במסגרת כנס </w:t>
      </w:r>
      <w:proofErr w:type="spellStart"/>
      <w:r w:rsidRPr="00934443">
        <w:rPr>
          <w:rFonts w:ascii="David" w:hAnsi="David" w:cs="David"/>
          <w:sz w:val="24"/>
          <w:szCs w:val="24"/>
          <w:rtl/>
        </w:rPr>
        <w:t>איקומוס</w:t>
      </w:r>
      <w:proofErr w:type="spellEnd"/>
      <w:r w:rsidRPr="00934443">
        <w:rPr>
          <w:rFonts w:ascii="David" w:hAnsi="David" w:cs="David"/>
          <w:sz w:val="24"/>
          <w:szCs w:val="24"/>
          <w:rtl/>
        </w:rPr>
        <w:t xml:space="preserve"> שנערך </w:t>
      </w:r>
      <w:proofErr w:type="spellStart"/>
      <w:r w:rsidRPr="00934443">
        <w:rPr>
          <w:rFonts w:ascii="David" w:hAnsi="David" w:cs="David"/>
          <w:sz w:val="24"/>
          <w:szCs w:val="24"/>
          <w:rtl/>
        </w:rPr>
        <w:t>בנארה</w:t>
      </w:r>
      <w:proofErr w:type="spellEnd"/>
      <w:r w:rsidRPr="00934443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 w:rsidRPr="00934443">
        <w:rPr>
          <w:rFonts w:ascii="David" w:hAnsi="David" w:cs="David"/>
          <w:sz w:val="24"/>
          <w:szCs w:val="24"/>
        </w:rPr>
        <w:t>nara</w:t>
      </w:r>
      <w:proofErr w:type="spellEnd"/>
      <w:r w:rsidRPr="00934443">
        <w:rPr>
          <w:rFonts w:ascii="David" w:hAnsi="David" w:cs="David"/>
          <w:sz w:val="24"/>
          <w:szCs w:val="24"/>
          <w:rtl/>
        </w:rPr>
        <w:t>) יפן (1994), הועלתה הדאגה כי כוחות כלכליים ותהליכים פוליטיים בינלאומיים יובילו להפחתה משמעותית של הזהות התרבותית בכלל ולפגיעה קשה בגיוון המורשת התרבותית.</w:t>
      </w:r>
    </w:p>
    <w:p w14:paraId="26C36C4E" w14:textId="0E836B84" w:rsidR="00934443" w:rsidRPr="00934443" w:rsidRDefault="00934443" w:rsidP="00934443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934443">
        <w:rPr>
          <w:rFonts w:ascii="David" w:hAnsi="David" w:cs="David"/>
          <w:sz w:val="24"/>
          <w:szCs w:val="24"/>
          <w:rtl/>
        </w:rPr>
        <w:t xml:space="preserve">המסמך מדגיש את התפיסה כי שימור מורשת תרבות, על תקופותיה ורבדיה, נעוץ בהכרה ובזיהוי אמין של ערכי המורשת ומאפייניהם. </w:t>
      </w:r>
      <w:r>
        <w:rPr>
          <w:rFonts w:ascii="David" w:hAnsi="David" w:cs="David" w:hint="cs"/>
          <w:sz w:val="24"/>
          <w:szCs w:val="24"/>
          <w:rtl/>
        </w:rPr>
        <w:t xml:space="preserve">המסמך מדגיש שני מושגים שהפכו במהלך השנים לאבן דרך בהכנת מסמכי היתכנות להכרזה על אתרי מורשת לאומיים ובינלאומיים (המורשת העולמית): </w:t>
      </w:r>
      <w:r w:rsidRPr="00934443">
        <w:rPr>
          <w:rFonts w:ascii="David" w:hAnsi="David" w:cs="David" w:hint="cs"/>
          <w:b/>
          <w:bCs/>
          <w:sz w:val="24"/>
          <w:szCs w:val="24"/>
          <w:rtl/>
        </w:rPr>
        <w:t>אותנטיות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934443">
        <w:rPr>
          <w:rFonts w:ascii="David" w:hAnsi="David" w:cs="David" w:hint="cs"/>
          <w:b/>
          <w:bCs/>
          <w:sz w:val="24"/>
          <w:szCs w:val="24"/>
          <w:rtl/>
        </w:rPr>
        <w:t>שלמות/יושרה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r>
        <w:rPr>
          <w:rFonts w:ascii="David" w:hAnsi="David" w:cs="David"/>
          <w:sz w:val="24"/>
          <w:szCs w:val="24"/>
        </w:rPr>
        <w:t>integrity</w:t>
      </w:r>
      <w:r>
        <w:rPr>
          <w:rFonts w:ascii="David" w:hAnsi="David" w:cs="David" w:hint="cs"/>
          <w:sz w:val="24"/>
          <w:szCs w:val="24"/>
          <w:rtl/>
        </w:rPr>
        <w:t>)</w:t>
      </w:r>
    </w:p>
    <w:p w14:paraId="1EF23B9D" w14:textId="364330B1" w:rsidR="00934443" w:rsidRDefault="00934443" w:rsidP="0035180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David" w:hAnsi="David" w:cs="David"/>
          <w:sz w:val="24"/>
          <w:szCs w:val="24"/>
        </w:rPr>
      </w:pPr>
      <w:r w:rsidRPr="00934443">
        <w:rPr>
          <w:rFonts w:ascii="David" w:hAnsi="David" w:cs="David"/>
          <w:sz w:val="24"/>
          <w:szCs w:val="24"/>
          <w:rtl/>
        </w:rPr>
        <w:t xml:space="preserve">קביעת מידת </w:t>
      </w:r>
      <w:r w:rsidRPr="00934443">
        <w:rPr>
          <w:rFonts w:ascii="David" w:hAnsi="David" w:cs="David"/>
          <w:b/>
          <w:bCs/>
          <w:sz w:val="24"/>
          <w:szCs w:val="24"/>
          <w:rtl/>
        </w:rPr>
        <w:t>האותנטיות</w:t>
      </w:r>
      <w:r w:rsidRPr="00934443">
        <w:rPr>
          <w:rFonts w:ascii="David" w:hAnsi="David" w:cs="David"/>
          <w:sz w:val="24"/>
          <w:szCs w:val="24"/>
          <w:rtl/>
        </w:rPr>
        <w:t xml:space="preserve"> של מאפיינים אלו</w:t>
      </w:r>
      <w:r w:rsidRPr="00934443">
        <w:rPr>
          <w:rFonts w:ascii="David" w:hAnsi="David" w:cs="David" w:hint="cs"/>
          <w:sz w:val="24"/>
          <w:szCs w:val="24"/>
          <w:rtl/>
        </w:rPr>
        <w:t xml:space="preserve"> תיעשה</w:t>
      </w:r>
      <w:r w:rsidRPr="00934443">
        <w:rPr>
          <w:rFonts w:ascii="David" w:hAnsi="David" w:cs="David"/>
          <w:sz w:val="24"/>
          <w:szCs w:val="24"/>
          <w:rtl/>
        </w:rPr>
        <w:t xml:space="preserve"> באמצעות </w:t>
      </w:r>
      <w:r w:rsidRPr="00934443">
        <w:rPr>
          <w:rFonts w:ascii="David" w:hAnsi="David" w:cs="David"/>
          <w:b/>
          <w:bCs/>
          <w:sz w:val="24"/>
          <w:szCs w:val="24"/>
          <w:rtl/>
        </w:rPr>
        <w:t>חקר מקדים</w:t>
      </w:r>
      <w:r w:rsidRPr="00934443">
        <w:rPr>
          <w:rFonts w:ascii="David" w:hAnsi="David" w:cs="David" w:hint="cs"/>
          <w:b/>
          <w:bCs/>
          <w:sz w:val="24"/>
          <w:szCs w:val="24"/>
          <w:rtl/>
        </w:rPr>
        <w:t xml:space="preserve"> ואמין</w:t>
      </w:r>
      <w:r w:rsidRPr="00934443">
        <w:rPr>
          <w:rFonts w:ascii="David" w:hAnsi="David" w:cs="David"/>
          <w:b/>
          <w:bCs/>
          <w:sz w:val="24"/>
          <w:szCs w:val="24"/>
          <w:rtl/>
        </w:rPr>
        <w:t xml:space="preserve"> של </w:t>
      </w:r>
      <w:r w:rsidRPr="00934443">
        <w:rPr>
          <w:rFonts w:ascii="David" w:hAnsi="David" w:cs="David" w:hint="cs"/>
          <w:b/>
          <w:bCs/>
          <w:sz w:val="24"/>
          <w:szCs w:val="24"/>
          <w:rtl/>
        </w:rPr>
        <w:t xml:space="preserve">כל </w:t>
      </w:r>
      <w:r w:rsidRPr="00934443">
        <w:rPr>
          <w:rFonts w:ascii="David" w:hAnsi="David" w:cs="David"/>
          <w:b/>
          <w:bCs/>
          <w:sz w:val="24"/>
          <w:szCs w:val="24"/>
          <w:rtl/>
        </w:rPr>
        <w:t>מקורות ה</w:t>
      </w:r>
      <w:r w:rsidRPr="00934443">
        <w:rPr>
          <w:rFonts w:ascii="David" w:hAnsi="David" w:cs="David" w:hint="cs"/>
          <w:b/>
          <w:bCs/>
          <w:sz w:val="24"/>
          <w:szCs w:val="24"/>
          <w:rtl/>
        </w:rPr>
        <w:t>מ</w:t>
      </w:r>
      <w:r w:rsidRPr="00934443">
        <w:rPr>
          <w:rFonts w:ascii="David" w:hAnsi="David" w:cs="David"/>
          <w:b/>
          <w:bCs/>
          <w:sz w:val="24"/>
          <w:szCs w:val="24"/>
          <w:rtl/>
        </w:rPr>
        <w:t>ידע</w:t>
      </w:r>
      <w:r w:rsidRPr="00934443">
        <w:rPr>
          <w:rFonts w:ascii="David" w:hAnsi="David" w:cs="David"/>
          <w:sz w:val="24"/>
          <w:szCs w:val="24"/>
          <w:rtl/>
        </w:rPr>
        <w:t>, היא מרכיב ראשוני בהערכת מונומנטים היסטוריים כפי שמוגדרים באמנת ונציה ובאמנת מורשת העולם.</w:t>
      </w:r>
      <w:r w:rsidRPr="00934443">
        <w:rPr>
          <w:rFonts w:ascii="David" w:hAnsi="David" w:cs="David" w:hint="cs"/>
          <w:sz w:val="24"/>
          <w:szCs w:val="24"/>
          <w:rtl/>
        </w:rPr>
        <w:t xml:space="preserve"> הבחינה תדגיש את </w:t>
      </w:r>
      <w:r w:rsidRPr="00934443">
        <w:rPr>
          <w:rFonts w:ascii="David" w:hAnsi="David" w:cs="David"/>
          <w:sz w:val="24"/>
          <w:szCs w:val="24"/>
          <w:rtl/>
        </w:rPr>
        <w:t>ההקשר התרבותי המקומי</w:t>
      </w:r>
      <w:r w:rsidRPr="00934443">
        <w:rPr>
          <w:rFonts w:ascii="David" w:hAnsi="David" w:cs="David" w:hint="cs"/>
          <w:sz w:val="24"/>
          <w:szCs w:val="24"/>
          <w:rtl/>
        </w:rPr>
        <w:t xml:space="preserve">, היא תתבסס על מיקומו של הנכס, סביבתו על כל מרכיביה גם הפיסיים וגם החברתיים. ובלשון האמנה, סעיפים </w:t>
      </w:r>
      <w:r w:rsidRPr="00934443">
        <w:rPr>
          <w:rFonts w:ascii="David" w:hAnsi="David" w:cs="David"/>
          <w:b/>
          <w:bCs/>
          <w:sz w:val="24"/>
          <w:szCs w:val="24"/>
          <w:rtl/>
        </w:rPr>
        <w:t xml:space="preserve">24(ב) (1) או 44 (ב)(1 עד 4) </w:t>
      </w:r>
      <w:r w:rsidRPr="00934443">
        <w:rPr>
          <w:rFonts w:ascii="David" w:hAnsi="David" w:cs="David" w:hint="cs"/>
          <w:b/>
          <w:bCs/>
          <w:sz w:val="24"/>
          <w:szCs w:val="24"/>
          <w:rtl/>
        </w:rPr>
        <w:t xml:space="preserve">וכן </w:t>
      </w:r>
      <w:r w:rsidRPr="00934443">
        <w:rPr>
          <w:rFonts w:ascii="David" w:hAnsi="David" w:cs="David"/>
          <w:b/>
          <w:bCs/>
          <w:sz w:val="24"/>
          <w:szCs w:val="24"/>
          <w:rtl/>
        </w:rPr>
        <w:t>בהנחיות התפעוליות</w:t>
      </w:r>
      <w:r w:rsidRPr="00934443">
        <w:rPr>
          <w:rFonts w:ascii="David" w:hAnsi="David" w:cs="David"/>
          <w:sz w:val="24"/>
          <w:szCs w:val="24"/>
          <w:rtl/>
        </w:rPr>
        <w:t>,</w:t>
      </w:r>
      <w:r w:rsidRPr="00934443">
        <w:rPr>
          <w:rFonts w:ascii="David" w:hAnsi="David" w:cs="David" w:hint="cs"/>
          <w:sz w:val="24"/>
          <w:szCs w:val="24"/>
          <w:rtl/>
        </w:rPr>
        <w:t xml:space="preserve"> 2005: "</w:t>
      </w:r>
      <w:r w:rsidRPr="00934443">
        <w:rPr>
          <w:rFonts w:ascii="David" w:hAnsi="David" w:cs="David"/>
          <w:sz w:val="24"/>
          <w:szCs w:val="24"/>
          <w:rtl/>
        </w:rPr>
        <w:t>במבחן האותנטיות יש לעמוד בכמה מאפיינים: צורה ועיצוב; חומרים ומהות; שימוש ותפקוד; מסורות; טכניקות ושיטות ניהול; מקום והקשר; שפה או צורה אחרת של מורשת לא-מוחשית; אווירה ותחושה; מאפיינים פנימיים וחיצוניים אחרים. המורשת תיבחן בתוך, וכמה שניתן על בסיס תיעוד שלם, מפורט ומהימן, למרות הקשיים הנובעים מכך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934443">
        <w:rPr>
          <w:rFonts w:ascii="David" w:hAnsi="David" w:cs="David"/>
          <w:sz w:val="24"/>
          <w:szCs w:val="24"/>
          <w:rtl/>
        </w:rPr>
        <w:t>.</w:t>
      </w:r>
    </w:p>
    <w:p w14:paraId="18F693F1" w14:textId="3DEFFD3B" w:rsidR="00934443" w:rsidRPr="00934443" w:rsidRDefault="00934443" w:rsidP="00934443">
      <w:pPr>
        <w:spacing w:after="0" w:line="360" w:lineRule="auto"/>
        <w:ind w:left="360"/>
        <w:contextualSpacing/>
        <w:rPr>
          <w:rFonts w:ascii="David" w:hAnsi="David" w:cs="David"/>
          <w:b/>
          <w:bCs/>
          <w:sz w:val="24"/>
          <w:szCs w:val="24"/>
          <w:rtl/>
        </w:rPr>
      </w:pPr>
      <w:r w:rsidRPr="00934443">
        <w:rPr>
          <w:rFonts w:ascii="David" w:hAnsi="David" w:cs="David" w:hint="cs"/>
          <w:b/>
          <w:bCs/>
          <w:sz w:val="24"/>
          <w:szCs w:val="24"/>
          <w:rtl/>
        </w:rPr>
        <w:t>נסכם</w:t>
      </w:r>
    </w:p>
    <w:p w14:paraId="3C5B6244" w14:textId="0A0CAFD8" w:rsidR="00934443" w:rsidRPr="00934443" w:rsidRDefault="00934443" w:rsidP="00934443">
      <w:pPr>
        <w:spacing w:after="0" w:line="360" w:lineRule="auto"/>
        <w:ind w:left="360"/>
        <w:contextualSpacing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ערכי מורשת תרבותית, ובקיצור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הערכים התרבותיים הם הבסיס להכללה של נכסים ונופים ברשימות שימור, ובעקבות זאת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להכרזה עליהם כראויים לשימור.</w:t>
      </w:r>
    </w:p>
    <w:sectPr w:rsidR="00934443" w:rsidRPr="00934443" w:rsidSect="00333851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F76" w14:textId="77777777" w:rsidR="00B936FE" w:rsidRDefault="00B936FE" w:rsidP="00DC1A01">
      <w:pPr>
        <w:spacing w:after="0" w:line="240" w:lineRule="auto"/>
      </w:pPr>
      <w:r>
        <w:separator/>
      </w:r>
    </w:p>
  </w:endnote>
  <w:endnote w:type="continuationSeparator" w:id="0">
    <w:p w14:paraId="321FEB6B" w14:textId="77777777" w:rsidR="00B936FE" w:rsidRDefault="00B936FE" w:rsidP="00DC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5E2E" w14:textId="77777777" w:rsidR="00B936FE" w:rsidRDefault="00B936FE" w:rsidP="00DC1A01">
      <w:pPr>
        <w:spacing w:after="0" w:line="240" w:lineRule="auto"/>
      </w:pPr>
      <w:r>
        <w:separator/>
      </w:r>
    </w:p>
  </w:footnote>
  <w:footnote w:type="continuationSeparator" w:id="0">
    <w:p w14:paraId="2633CF3B" w14:textId="77777777" w:rsidR="00B936FE" w:rsidRDefault="00B936FE" w:rsidP="00DC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708104904"/>
      <w:docPartObj>
        <w:docPartGallery w:val="Page Numbers (Top of Page)"/>
        <w:docPartUnique/>
      </w:docPartObj>
    </w:sdtPr>
    <w:sdtContent>
      <w:p w14:paraId="029F375D" w14:textId="34489295" w:rsidR="00DC1A01" w:rsidRDefault="00DC1A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  <w:r w:rsidR="003E3269">
          <w:rPr>
            <w:rFonts w:hint="cs"/>
            <w:rtl/>
          </w:rPr>
          <w:t xml:space="preserve">   פרופ' עירית עמית כהן 60 שניות על שימור</w:t>
        </w:r>
      </w:p>
    </w:sdtContent>
  </w:sdt>
  <w:p w14:paraId="2F153F0A" w14:textId="77777777" w:rsidR="00DC1A01" w:rsidRDefault="00DC1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ED0"/>
    <w:multiLevelType w:val="hybridMultilevel"/>
    <w:tmpl w:val="1696D7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21677"/>
    <w:multiLevelType w:val="hybridMultilevel"/>
    <w:tmpl w:val="FEC09C50"/>
    <w:lvl w:ilvl="0" w:tplc="2BACE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80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A6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0D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63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C8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0E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6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C3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2C52CB"/>
    <w:multiLevelType w:val="hybridMultilevel"/>
    <w:tmpl w:val="1EA874AC"/>
    <w:lvl w:ilvl="0" w:tplc="7A06B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CC4C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980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0C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6D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083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86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E9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A6D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7E550C"/>
    <w:multiLevelType w:val="hybridMultilevel"/>
    <w:tmpl w:val="07465FE6"/>
    <w:lvl w:ilvl="0" w:tplc="82D4A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C9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27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04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CA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41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2A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47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E5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3A74BD"/>
    <w:multiLevelType w:val="multilevel"/>
    <w:tmpl w:val="7E86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33451"/>
    <w:multiLevelType w:val="hybridMultilevel"/>
    <w:tmpl w:val="771611E4"/>
    <w:lvl w:ilvl="0" w:tplc="C6F2E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41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A3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86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05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61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CD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C1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60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2759E4"/>
    <w:multiLevelType w:val="hybridMultilevel"/>
    <w:tmpl w:val="8886FEB0"/>
    <w:lvl w:ilvl="0" w:tplc="4C1C3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05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49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6F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0A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AD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85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EF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63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F271DF"/>
    <w:multiLevelType w:val="hybridMultilevel"/>
    <w:tmpl w:val="B608E986"/>
    <w:lvl w:ilvl="0" w:tplc="4AF40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8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AB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E9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0B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EB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A2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0A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2F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F71146"/>
    <w:multiLevelType w:val="hybridMultilevel"/>
    <w:tmpl w:val="9D147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7913"/>
    <w:multiLevelType w:val="hybridMultilevel"/>
    <w:tmpl w:val="5C3A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46E24"/>
    <w:multiLevelType w:val="hybridMultilevel"/>
    <w:tmpl w:val="3EAE016E"/>
    <w:lvl w:ilvl="0" w:tplc="511271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60E57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045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C8187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6C5C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7823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B6CAD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44F8F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3CE5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70B5E91"/>
    <w:multiLevelType w:val="hybridMultilevel"/>
    <w:tmpl w:val="42984DA0"/>
    <w:lvl w:ilvl="0" w:tplc="833E5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84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B65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A2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83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8B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EF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C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941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FD6466"/>
    <w:multiLevelType w:val="hybridMultilevel"/>
    <w:tmpl w:val="DBA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75CDA"/>
    <w:multiLevelType w:val="hybridMultilevel"/>
    <w:tmpl w:val="A9C2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335DF"/>
    <w:multiLevelType w:val="hybridMultilevel"/>
    <w:tmpl w:val="D270911E"/>
    <w:lvl w:ilvl="0" w:tplc="CC125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CF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44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84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02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29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07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21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AB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8A011F"/>
    <w:multiLevelType w:val="hybridMultilevel"/>
    <w:tmpl w:val="6C906324"/>
    <w:lvl w:ilvl="0" w:tplc="B5D66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6F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26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4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4E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AD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CC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24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E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86282453">
    <w:abstractNumId w:val="13"/>
  </w:num>
  <w:num w:numId="2" w16cid:durableId="1845899589">
    <w:abstractNumId w:val="8"/>
  </w:num>
  <w:num w:numId="3" w16cid:durableId="1738818419">
    <w:abstractNumId w:val="0"/>
  </w:num>
  <w:num w:numId="4" w16cid:durableId="1356350713">
    <w:abstractNumId w:val="4"/>
  </w:num>
  <w:num w:numId="5" w16cid:durableId="1583105551">
    <w:abstractNumId w:val="12"/>
  </w:num>
  <w:num w:numId="6" w16cid:durableId="2095010409">
    <w:abstractNumId w:val="9"/>
  </w:num>
  <w:num w:numId="7" w16cid:durableId="982659864">
    <w:abstractNumId w:val="14"/>
  </w:num>
  <w:num w:numId="8" w16cid:durableId="1021011501">
    <w:abstractNumId w:val="5"/>
  </w:num>
  <w:num w:numId="9" w16cid:durableId="1292245449">
    <w:abstractNumId w:val="3"/>
  </w:num>
  <w:num w:numId="10" w16cid:durableId="1368601947">
    <w:abstractNumId w:val="2"/>
  </w:num>
  <w:num w:numId="11" w16cid:durableId="1083990663">
    <w:abstractNumId w:val="10"/>
  </w:num>
  <w:num w:numId="12" w16cid:durableId="637220432">
    <w:abstractNumId w:val="11"/>
  </w:num>
  <w:num w:numId="13" w16cid:durableId="2082605669">
    <w:abstractNumId w:val="7"/>
  </w:num>
  <w:num w:numId="14" w16cid:durableId="290864820">
    <w:abstractNumId w:val="15"/>
  </w:num>
  <w:num w:numId="15" w16cid:durableId="720635999">
    <w:abstractNumId w:val="1"/>
  </w:num>
  <w:num w:numId="16" w16cid:durableId="2110003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FB"/>
    <w:rsid w:val="000E1AC6"/>
    <w:rsid w:val="001D5BA9"/>
    <w:rsid w:val="00216C7A"/>
    <w:rsid w:val="002B1E17"/>
    <w:rsid w:val="002C415C"/>
    <w:rsid w:val="002F6760"/>
    <w:rsid w:val="00333851"/>
    <w:rsid w:val="003B5B53"/>
    <w:rsid w:val="003D35C7"/>
    <w:rsid w:val="003E3269"/>
    <w:rsid w:val="00482AED"/>
    <w:rsid w:val="00641B1F"/>
    <w:rsid w:val="006F6088"/>
    <w:rsid w:val="00766707"/>
    <w:rsid w:val="007E601F"/>
    <w:rsid w:val="008215A7"/>
    <w:rsid w:val="00890F0E"/>
    <w:rsid w:val="00934443"/>
    <w:rsid w:val="00947BE3"/>
    <w:rsid w:val="009708DE"/>
    <w:rsid w:val="009875E5"/>
    <w:rsid w:val="009A48DA"/>
    <w:rsid w:val="009B75B8"/>
    <w:rsid w:val="009B7794"/>
    <w:rsid w:val="00A2777F"/>
    <w:rsid w:val="00B3533F"/>
    <w:rsid w:val="00B72F56"/>
    <w:rsid w:val="00B936FE"/>
    <w:rsid w:val="00C775B5"/>
    <w:rsid w:val="00CD306F"/>
    <w:rsid w:val="00D555BF"/>
    <w:rsid w:val="00D703C9"/>
    <w:rsid w:val="00DB3DFB"/>
    <w:rsid w:val="00DC1A01"/>
    <w:rsid w:val="00DD2717"/>
    <w:rsid w:val="00DE1A57"/>
    <w:rsid w:val="00EA7322"/>
    <w:rsid w:val="00F838ED"/>
    <w:rsid w:val="00F8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FC7A0"/>
  <w15:chartTrackingRefBased/>
  <w15:docId w15:val="{B1CCE216-6280-46E0-A5EB-F5D2F7A9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sid w:val="00DB3DF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4">
    <w:name w:val="Char Style 4"/>
    <w:basedOn w:val="CharStyle3"/>
    <w:rsid w:val="00DB3DFB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customStyle="1" w:styleId="Style2">
    <w:name w:val="Style 2"/>
    <w:basedOn w:val="a"/>
    <w:link w:val="CharStyle3"/>
    <w:rsid w:val="00DB3DFB"/>
    <w:pPr>
      <w:widowControl w:val="0"/>
      <w:shd w:val="clear" w:color="auto" w:fill="FFFFFF"/>
      <w:bidi w:val="0"/>
      <w:spacing w:after="1060" w:line="177" w:lineRule="exact"/>
      <w:jc w:val="center"/>
    </w:pPr>
    <w:rPr>
      <w:rFonts w:ascii="Arial" w:eastAsia="Arial" w:hAnsi="Arial" w:cs="Arial"/>
      <w:sz w:val="15"/>
      <w:szCs w:val="15"/>
    </w:rPr>
  </w:style>
  <w:style w:type="character" w:customStyle="1" w:styleId="CharStyle14">
    <w:name w:val="Char Style 14"/>
    <w:basedOn w:val="a0"/>
    <w:link w:val="Style13"/>
    <w:rsid w:val="00A2777F"/>
    <w:rPr>
      <w:rFonts w:ascii="Arial" w:eastAsia="Arial" w:hAnsi="Arial" w:cs="Arial"/>
      <w:shd w:val="clear" w:color="auto" w:fill="FFFFFF"/>
    </w:rPr>
  </w:style>
  <w:style w:type="paragraph" w:customStyle="1" w:styleId="Style13">
    <w:name w:val="Style 13"/>
    <w:basedOn w:val="a"/>
    <w:link w:val="CharStyle14"/>
    <w:rsid w:val="00A2777F"/>
    <w:pPr>
      <w:widowControl w:val="0"/>
      <w:shd w:val="clear" w:color="auto" w:fill="FFFFFF"/>
      <w:bidi w:val="0"/>
      <w:spacing w:before="160" w:after="200" w:line="242" w:lineRule="exact"/>
      <w:jc w:val="both"/>
    </w:pPr>
    <w:rPr>
      <w:rFonts w:ascii="Arial" w:eastAsia="Arial" w:hAnsi="Arial" w:cs="Arial"/>
    </w:rPr>
  </w:style>
  <w:style w:type="paragraph" w:styleId="a3">
    <w:name w:val="header"/>
    <w:basedOn w:val="a"/>
    <w:link w:val="a4"/>
    <w:uiPriority w:val="99"/>
    <w:unhideWhenUsed/>
    <w:rsid w:val="00DC1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C1A01"/>
  </w:style>
  <w:style w:type="paragraph" w:styleId="a5">
    <w:name w:val="footer"/>
    <w:basedOn w:val="a"/>
    <w:link w:val="a6"/>
    <w:uiPriority w:val="99"/>
    <w:unhideWhenUsed/>
    <w:rsid w:val="00DC1A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C1A01"/>
  </w:style>
  <w:style w:type="paragraph" w:styleId="NormalWeb">
    <w:name w:val="Normal (Web)"/>
    <w:basedOn w:val="a"/>
    <w:uiPriority w:val="99"/>
    <w:semiHidden/>
    <w:unhideWhenUsed/>
    <w:rsid w:val="009B77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7">
    <w:name w:val="Strong"/>
    <w:basedOn w:val="a0"/>
    <w:uiPriority w:val="22"/>
    <w:qFormat/>
    <w:rsid w:val="009B7794"/>
    <w:rPr>
      <w:b/>
      <w:bCs/>
    </w:rPr>
  </w:style>
  <w:style w:type="paragraph" w:styleId="a8">
    <w:name w:val="List Paragraph"/>
    <w:basedOn w:val="a"/>
    <w:uiPriority w:val="34"/>
    <w:qFormat/>
    <w:rsid w:val="00F847FD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947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071">
          <w:marLeft w:val="0"/>
          <w:marRight w:val="54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72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598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74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267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308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508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517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583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6525">
          <w:marLeft w:val="0"/>
          <w:marRight w:val="547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533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68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17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11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304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898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557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38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222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140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63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038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19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28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801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833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58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42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0737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4174">
          <w:marLeft w:val="0"/>
          <w:marRight w:val="547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477">
          <w:marLeft w:val="0"/>
          <w:marRight w:val="547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918">
          <w:marLeft w:val="0"/>
          <w:marRight w:val="547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4</Pages>
  <Words>1254</Words>
  <Characters>6273</Characters>
  <Application>Microsoft Office Word</Application>
  <DocSecurity>0</DocSecurity>
  <Lines>52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 Amit-cohen</dc:creator>
  <cp:keywords/>
  <dc:description/>
  <cp:lastModifiedBy>Irit Amit-cohen</cp:lastModifiedBy>
  <cp:revision>14</cp:revision>
  <cp:lastPrinted>2023-09-04T08:26:00Z</cp:lastPrinted>
  <dcterms:created xsi:type="dcterms:W3CDTF">2023-09-03T13:13:00Z</dcterms:created>
  <dcterms:modified xsi:type="dcterms:W3CDTF">2023-09-05T09:29:00Z</dcterms:modified>
</cp:coreProperties>
</file>